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F3" w:rsidRDefault="00AA22F3"/>
    <w:p w:rsidR="004A6702" w:rsidRDefault="004A6702" w:rsidP="004A6702">
      <w:pPr>
        <w:pStyle w:val="NoSpacing"/>
      </w:pPr>
    </w:p>
    <w:p w:rsidR="004A6702" w:rsidRDefault="004A6702" w:rsidP="004A6702">
      <w:pPr>
        <w:pStyle w:val="NoSpacing"/>
      </w:pPr>
    </w:p>
    <w:p w:rsidR="004A6702" w:rsidRDefault="004A6702" w:rsidP="004A6702">
      <w:pPr>
        <w:shd w:val="clear" w:color="auto" w:fill="FFFFFF"/>
        <w:spacing w:line="360" w:lineRule="auto"/>
        <w:rPr>
          <w:rFonts w:eastAsia="Times New Roman"/>
          <w:color w:val="000000"/>
        </w:rPr>
      </w:pPr>
      <w:r>
        <w:rPr>
          <w:rFonts w:eastAsia="Times New Roman"/>
          <w:b/>
          <w:color w:val="000000"/>
        </w:rPr>
        <w:t>Probity</w:t>
      </w:r>
    </w:p>
    <w:p w:rsidR="004A6702" w:rsidRDefault="004A6702" w:rsidP="004A6702">
      <w:pPr>
        <w:shd w:val="clear" w:color="auto" w:fill="FFFFFF"/>
        <w:jc w:val="both"/>
        <w:rPr>
          <w:rFonts w:eastAsia="Times New Roman"/>
          <w:color w:val="000000"/>
        </w:rPr>
      </w:pPr>
      <w:r>
        <w:rPr>
          <w:rFonts w:eastAsia="Times New Roman"/>
          <w:color w:val="000000"/>
        </w:rPr>
        <w:t>The Nolan Committee’s Report (1996) published seven principles applicable to public spending bodies, five of which are particularly pertinent in the management of school finances:</w:t>
      </w:r>
    </w:p>
    <w:p w:rsidR="004A6702" w:rsidRDefault="004A6702" w:rsidP="004A6702">
      <w:pPr>
        <w:shd w:val="clear" w:color="auto" w:fill="FFFFFF"/>
        <w:ind w:left="360" w:hanging="360"/>
        <w:jc w:val="both"/>
        <w:rPr>
          <w:rFonts w:eastAsia="Times New Roman"/>
          <w:color w:val="000000"/>
        </w:rPr>
      </w:pPr>
      <w:r>
        <w:rPr>
          <w:rFonts w:ascii="Symbol" w:eastAsia="Symbol" w:hAnsi="Symbol" w:cs="Symbol"/>
          <w:color w:val="000000"/>
        </w:rPr>
        <w:t></w:t>
      </w:r>
      <w:r>
        <w:rPr>
          <w:rFonts w:eastAsia="Symbol"/>
          <w:color w:val="000000"/>
          <w:sz w:val="14"/>
          <w:szCs w:val="14"/>
        </w:rPr>
        <w:t xml:space="preserve">       </w:t>
      </w:r>
      <w:proofErr w:type="gramStart"/>
      <w:r>
        <w:rPr>
          <w:rFonts w:eastAsia="Times New Roman"/>
          <w:color w:val="000000"/>
        </w:rPr>
        <w:t>objectivity</w:t>
      </w:r>
      <w:proofErr w:type="gramEnd"/>
    </w:p>
    <w:p w:rsidR="004A6702" w:rsidRDefault="004A6702" w:rsidP="004A6702">
      <w:pPr>
        <w:shd w:val="clear" w:color="auto" w:fill="FFFFFF"/>
        <w:ind w:left="360" w:hanging="360"/>
        <w:jc w:val="both"/>
        <w:rPr>
          <w:rFonts w:eastAsia="Times New Roman"/>
          <w:color w:val="000000"/>
        </w:rPr>
      </w:pPr>
      <w:r>
        <w:rPr>
          <w:rFonts w:ascii="Symbol" w:eastAsia="Symbol" w:hAnsi="Symbol" w:cs="Symbol"/>
          <w:color w:val="000000"/>
        </w:rPr>
        <w:t></w:t>
      </w:r>
      <w:r>
        <w:rPr>
          <w:rFonts w:eastAsia="Symbol"/>
          <w:color w:val="000000"/>
          <w:sz w:val="14"/>
          <w:szCs w:val="14"/>
        </w:rPr>
        <w:t xml:space="preserve">       </w:t>
      </w:r>
      <w:proofErr w:type="gramStart"/>
      <w:r>
        <w:rPr>
          <w:rFonts w:eastAsia="Times New Roman"/>
          <w:color w:val="000000"/>
        </w:rPr>
        <w:t>accountability</w:t>
      </w:r>
      <w:proofErr w:type="gramEnd"/>
    </w:p>
    <w:p w:rsidR="004A6702" w:rsidRDefault="004A6702" w:rsidP="004A6702">
      <w:pPr>
        <w:shd w:val="clear" w:color="auto" w:fill="FFFFFF"/>
        <w:ind w:left="360" w:hanging="360"/>
        <w:jc w:val="both"/>
        <w:rPr>
          <w:rFonts w:eastAsia="Times New Roman"/>
          <w:color w:val="000000"/>
        </w:rPr>
      </w:pPr>
      <w:r>
        <w:rPr>
          <w:rFonts w:ascii="Symbol" w:eastAsia="Symbol" w:hAnsi="Symbol" w:cs="Symbol"/>
          <w:color w:val="000000"/>
        </w:rPr>
        <w:t></w:t>
      </w:r>
      <w:r>
        <w:rPr>
          <w:rFonts w:eastAsia="Symbol"/>
          <w:color w:val="000000"/>
          <w:sz w:val="14"/>
          <w:szCs w:val="14"/>
        </w:rPr>
        <w:t xml:space="preserve">       </w:t>
      </w:r>
      <w:proofErr w:type="gramStart"/>
      <w:r>
        <w:rPr>
          <w:rFonts w:eastAsia="Times New Roman"/>
          <w:color w:val="000000"/>
        </w:rPr>
        <w:t>openness</w:t>
      </w:r>
      <w:proofErr w:type="gramEnd"/>
    </w:p>
    <w:p w:rsidR="004A6702" w:rsidRDefault="004A6702" w:rsidP="004A6702">
      <w:pPr>
        <w:shd w:val="clear" w:color="auto" w:fill="FFFFFF"/>
        <w:ind w:left="360" w:hanging="360"/>
        <w:jc w:val="both"/>
        <w:rPr>
          <w:rFonts w:eastAsia="Times New Roman"/>
          <w:color w:val="000000"/>
        </w:rPr>
      </w:pPr>
      <w:r>
        <w:rPr>
          <w:rFonts w:ascii="Symbol" w:eastAsia="Symbol" w:hAnsi="Symbol" w:cs="Symbol"/>
          <w:color w:val="000000"/>
        </w:rPr>
        <w:t></w:t>
      </w:r>
      <w:r>
        <w:rPr>
          <w:rFonts w:eastAsia="Symbol"/>
          <w:color w:val="000000"/>
          <w:sz w:val="14"/>
          <w:szCs w:val="14"/>
        </w:rPr>
        <w:t xml:space="preserve">       </w:t>
      </w:r>
      <w:proofErr w:type="gramStart"/>
      <w:r>
        <w:rPr>
          <w:rFonts w:eastAsia="Times New Roman"/>
          <w:color w:val="000000"/>
        </w:rPr>
        <w:t>integrity</w:t>
      </w:r>
      <w:proofErr w:type="gramEnd"/>
    </w:p>
    <w:p w:rsidR="004A6702" w:rsidRDefault="004A6702" w:rsidP="004A6702">
      <w:pPr>
        <w:shd w:val="clear" w:color="auto" w:fill="FFFFFF"/>
        <w:ind w:left="360" w:hanging="360"/>
        <w:jc w:val="both"/>
        <w:rPr>
          <w:rFonts w:eastAsia="Times New Roman"/>
          <w:color w:val="000000"/>
        </w:rPr>
      </w:pPr>
      <w:r>
        <w:rPr>
          <w:rFonts w:ascii="Symbol" w:eastAsia="Symbol" w:hAnsi="Symbol" w:cs="Symbol"/>
          <w:color w:val="000000"/>
        </w:rPr>
        <w:t></w:t>
      </w:r>
      <w:r>
        <w:rPr>
          <w:rFonts w:eastAsia="Symbol"/>
          <w:color w:val="000000"/>
          <w:sz w:val="14"/>
          <w:szCs w:val="14"/>
        </w:rPr>
        <w:t xml:space="preserve">       </w:t>
      </w:r>
      <w:proofErr w:type="gramStart"/>
      <w:r>
        <w:rPr>
          <w:rFonts w:eastAsia="Times New Roman"/>
          <w:color w:val="000000"/>
        </w:rPr>
        <w:t>honesty</w:t>
      </w:r>
      <w:proofErr w:type="gramEnd"/>
    </w:p>
    <w:p w:rsidR="004A6702" w:rsidRDefault="004A6702" w:rsidP="004A6702">
      <w:pPr>
        <w:pStyle w:val="NoSpacing"/>
      </w:pPr>
    </w:p>
    <w:p w:rsidR="004A6702" w:rsidRDefault="004A6702" w:rsidP="004A6702">
      <w:pPr>
        <w:pStyle w:val="NoSpacing"/>
      </w:pPr>
      <w:r>
        <w:t>These principles are adhered to, and governors act responsibly to prevent improprieties occurring in the operation of school finance procedures.</w:t>
      </w:r>
    </w:p>
    <w:p w:rsidR="004A6702" w:rsidRPr="004A6702" w:rsidRDefault="004A6702" w:rsidP="004A6702">
      <w:pPr>
        <w:pStyle w:val="NoSpacing"/>
      </w:pPr>
    </w:p>
    <w:p w:rsidR="004A6702" w:rsidRPr="004A6702" w:rsidRDefault="004A6702" w:rsidP="004A6702">
      <w:pPr>
        <w:rPr>
          <w:b/>
        </w:rPr>
      </w:pPr>
      <w:r w:rsidRPr="004A6702">
        <w:rPr>
          <w:b/>
        </w:rPr>
        <w:t>Probity &amp; Budget Statement</w:t>
      </w:r>
    </w:p>
    <w:p w:rsidR="004A6702" w:rsidRPr="004A6702" w:rsidRDefault="004A6702" w:rsidP="004A6702">
      <w:r w:rsidRPr="004A6702">
        <w:t>School budget is not in deficit and is monitored by the Finance Committee on a monthly basis.</w:t>
      </w:r>
    </w:p>
    <w:p w:rsidR="004A6702" w:rsidRPr="004A6702" w:rsidRDefault="004A6702" w:rsidP="004A6702">
      <w:r w:rsidRPr="004A6702">
        <w:t xml:space="preserve">School staffing </w:t>
      </w:r>
      <w:r>
        <w:t>i</w:t>
      </w:r>
      <w:r w:rsidRPr="004A6702">
        <w:t>s</w:t>
      </w:r>
      <w:r>
        <w:t xml:space="preserve"> constantly monitored with salaries constituting</w:t>
      </w:r>
      <w:r w:rsidR="00DB66C8">
        <w:t xml:space="preserve"> 78</w:t>
      </w:r>
      <w:r w:rsidRPr="004A6702">
        <w:t>% of budget.</w:t>
      </w:r>
    </w:p>
    <w:p w:rsidR="004A6702" w:rsidRPr="004A6702" w:rsidRDefault="004A6702" w:rsidP="004A6702">
      <w:r w:rsidRPr="004A6702">
        <w:t>Pupil Premium – the more children claiming free school meals provides increased overall budget for school so please contact the office if you think you may qualify.</w:t>
      </w:r>
    </w:p>
    <w:p w:rsidR="004A6702" w:rsidRPr="004A6702" w:rsidRDefault="004A6702" w:rsidP="004A6702">
      <w:pPr>
        <w:rPr>
          <w:b/>
        </w:rPr>
      </w:pPr>
    </w:p>
    <w:p w:rsidR="004A6702" w:rsidRPr="004A6702" w:rsidRDefault="004A6702" w:rsidP="004A6702">
      <w:pPr>
        <w:rPr>
          <w:b/>
        </w:rPr>
      </w:pPr>
      <w:r w:rsidRPr="004A6702">
        <w:rPr>
          <w:b/>
        </w:rPr>
        <w:t>Pie Charts for Income and Expenditure</w:t>
      </w:r>
    </w:p>
    <w:p w:rsidR="004A6702" w:rsidRPr="004A6702" w:rsidRDefault="004A6702" w:rsidP="004A6702">
      <w:r w:rsidRPr="004A6702">
        <w:t>The pie charts below illustrate the school’s major sources of funding and expenditure:</w:t>
      </w:r>
    </w:p>
    <w:p w:rsidR="004A6702" w:rsidRDefault="004A6702" w:rsidP="004A6702">
      <w:pPr>
        <w:pStyle w:val="NoSpacing"/>
      </w:pPr>
    </w:p>
    <w:p w:rsidR="004A6702" w:rsidRDefault="004A6702" w:rsidP="004A6702">
      <w:pPr>
        <w:pStyle w:val="NoSpacing"/>
      </w:pPr>
      <w:r>
        <w:t>Major Sources of Income 2016-17</w:t>
      </w:r>
    </w:p>
    <w:p w:rsidR="004A6702" w:rsidRDefault="004A6702" w:rsidP="004A6702">
      <w:pPr>
        <w:pStyle w:val="NoSpacing"/>
      </w:pPr>
    </w:p>
    <w:p w:rsidR="004A6702" w:rsidRDefault="00DB66C8" w:rsidP="004A6702">
      <w:pPr>
        <w:pStyle w:val="NoSpacing"/>
      </w:pPr>
      <w:r>
        <w:rPr>
          <w:rFonts w:ascii="Calibri" w:eastAsia="Times New Roman" w:hAnsi="Calibri" w:cs="Times New Roman"/>
          <w:noProof/>
          <w:color w:val="000000"/>
          <w:lang w:eastAsia="en-GB"/>
        </w:rPr>
        <w:drawing>
          <wp:anchor distT="0" distB="0" distL="114300" distR="114300" simplePos="0" relativeHeight="251660288" behindDoc="0" locked="0" layoutInCell="1" allowOverlap="1" wp14:anchorId="19E4393C" wp14:editId="637475EE">
            <wp:simplePos x="0" y="0"/>
            <wp:positionH relativeFrom="column">
              <wp:posOffset>371475</wp:posOffset>
            </wp:positionH>
            <wp:positionV relativeFrom="paragraph">
              <wp:posOffset>149225</wp:posOffset>
            </wp:positionV>
            <wp:extent cx="5038725" cy="2733675"/>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tbl>
      <w:tblPr>
        <w:tblW w:w="9760" w:type="dxa"/>
        <w:tblInd w:w="108" w:type="dxa"/>
        <w:tblLook w:val="04A0" w:firstRow="1" w:lastRow="0" w:firstColumn="1" w:lastColumn="0" w:noHBand="0" w:noVBand="1"/>
      </w:tblPr>
      <w:tblGrid>
        <w:gridCol w:w="1176"/>
        <w:gridCol w:w="976"/>
        <w:gridCol w:w="976"/>
        <w:gridCol w:w="976"/>
        <w:gridCol w:w="976"/>
        <w:gridCol w:w="976"/>
        <w:gridCol w:w="976"/>
        <w:gridCol w:w="976"/>
        <w:gridCol w:w="976"/>
        <w:gridCol w:w="976"/>
      </w:tblGrid>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DB66C8" w:rsidRPr="00DB66C8">
              <w:trPr>
                <w:trHeight w:val="300"/>
                <w:tblCellSpacing w:w="0" w:type="dxa"/>
              </w:trPr>
              <w:tc>
                <w:tcPr>
                  <w:tcW w:w="960"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bl>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r w:rsidR="00DB66C8" w:rsidRPr="00DB66C8" w:rsidTr="00DB66C8">
        <w:trPr>
          <w:trHeight w:val="300"/>
        </w:trPr>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DB66C8" w:rsidRPr="00DB66C8" w:rsidRDefault="00DB66C8" w:rsidP="00DB66C8">
            <w:pPr>
              <w:rPr>
                <w:rFonts w:ascii="Calibri" w:eastAsia="Times New Roman" w:hAnsi="Calibri" w:cs="Times New Roman"/>
                <w:color w:val="000000"/>
                <w:lang w:eastAsia="en-GB"/>
              </w:rPr>
            </w:pPr>
          </w:p>
        </w:tc>
      </w:tr>
    </w:tbl>
    <w:p w:rsidR="004A6702" w:rsidRDefault="004A6702" w:rsidP="004A6702">
      <w:pPr>
        <w:pStyle w:val="NoSpacing"/>
      </w:pPr>
    </w:p>
    <w:p w:rsidR="004A6702" w:rsidRDefault="004A6702" w:rsidP="004A6702">
      <w:pPr>
        <w:pStyle w:val="NoSpacing"/>
      </w:pPr>
      <w:r>
        <w:t xml:space="preserve">We typically operate with a surplus between 5% and 8% which is the recommended level to </w:t>
      </w:r>
      <w:r w:rsidR="00DB66C8">
        <w:t xml:space="preserve">cope with outstanding invoices which is standard </w:t>
      </w:r>
      <w:proofErr w:type="spellStart"/>
      <w:r w:rsidR="00DB66C8">
        <w:t>pra</w:t>
      </w:r>
      <w:proofErr w:type="spellEnd"/>
      <w:r w:rsidR="00F1274D">
        <w:t xml:space="preserve"> </w:t>
      </w:r>
      <w:bookmarkStart w:id="0" w:name="_GoBack"/>
      <w:bookmarkEnd w:id="0"/>
      <w:r w:rsidR="00DB66C8">
        <w:t>ctice.  This year’s surplus was inflated by the funds set aside for the new building project which have now been spent</w:t>
      </w:r>
    </w:p>
    <w:p w:rsidR="004A6702" w:rsidRDefault="004A6702" w:rsidP="004A6702">
      <w:pPr>
        <w:pStyle w:val="NoSpacing"/>
      </w:pPr>
    </w:p>
    <w:p w:rsidR="004A6702" w:rsidRDefault="004A6702" w:rsidP="004A6702">
      <w:pPr>
        <w:pStyle w:val="NoSpacing"/>
      </w:pPr>
    </w:p>
    <w:p w:rsidR="004A6702" w:rsidRDefault="004A6702" w:rsidP="004A6702">
      <w:pPr>
        <w:pStyle w:val="NoSpacing"/>
      </w:pPr>
    </w:p>
    <w:p w:rsidR="004A6702" w:rsidRDefault="004A6702" w:rsidP="004A6702">
      <w:pPr>
        <w:pStyle w:val="NoSpacing"/>
      </w:pPr>
    </w:p>
    <w:p w:rsidR="004A6702" w:rsidRDefault="004A6702" w:rsidP="004A6702">
      <w:pPr>
        <w:pStyle w:val="NoSpacing"/>
      </w:pPr>
      <w:r>
        <w:t>Major Sources of Expenditure 2016-17</w:t>
      </w:r>
    </w:p>
    <w:p w:rsidR="004A6702" w:rsidRDefault="004A6702" w:rsidP="004A6702">
      <w:pPr>
        <w:pStyle w:val="NoSpacing"/>
      </w:pPr>
    </w:p>
    <w:tbl>
      <w:tblPr>
        <w:tblW w:w="8640" w:type="dxa"/>
        <w:tblInd w:w="108" w:type="dxa"/>
        <w:tblLook w:val="04A0" w:firstRow="1" w:lastRow="0" w:firstColumn="1" w:lastColumn="0" w:noHBand="0" w:noVBand="1"/>
      </w:tblPr>
      <w:tblGrid>
        <w:gridCol w:w="1176"/>
        <w:gridCol w:w="960"/>
        <w:gridCol w:w="960"/>
        <w:gridCol w:w="960"/>
        <w:gridCol w:w="960"/>
        <w:gridCol w:w="960"/>
        <w:gridCol w:w="960"/>
        <w:gridCol w:w="960"/>
        <w:gridCol w:w="960"/>
      </w:tblGrid>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171450</wp:posOffset>
                  </wp:positionV>
                  <wp:extent cx="5029200" cy="2733675"/>
                  <wp:effectExtent l="0" t="0" r="0" b="0"/>
                  <wp:wrapNone/>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A6702" w:rsidRPr="004A6702">
              <w:trPr>
                <w:trHeight w:val="300"/>
                <w:tblCellSpacing w:w="0" w:type="dxa"/>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bl>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r w:rsidR="004A6702" w:rsidRPr="004A6702" w:rsidTr="004A6702">
        <w:trPr>
          <w:trHeight w:val="300"/>
        </w:trPr>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A6702" w:rsidRPr="004A6702" w:rsidRDefault="004A6702" w:rsidP="004A6702">
            <w:pPr>
              <w:rPr>
                <w:rFonts w:ascii="Calibri" w:eastAsia="Times New Roman" w:hAnsi="Calibri" w:cs="Times New Roman"/>
                <w:color w:val="000000"/>
                <w:lang w:eastAsia="en-GB"/>
              </w:rPr>
            </w:pPr>
          </w:p>
        </w:tc>
      </w:tr>
    </w:tbl>
    <w:p w:rsidR="004A6702" w:rsidRPr="004A6702" w:rsidRDefault="004A6702" w:rsidP="004A6702">
      <w:pPr>
        <w:pStyle w:val="NoSpacing"/>
      </w:pPr>
      <w:r>
        <w:t>The 2% contingency figure is less than the recommended amount but we are hoping to generate savings during the course of the financial year.  Some savings have already been identified which will boost our contingency.</w:t>
      </w:r>
    </w:p>
    <w:sectPr w:rsidR="004A6702" w:rsidRPr="004A6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02"/>
    <w:rsid w:val="004A6702"/>
    <w:rsid w:val="0067217F"/>
    <w:rsid w:val="006C27AF"/>
    <w:rsid w:val="00AA22F3"/>
    <w:rsid w:val="00C36BBE"/>
    <w:rsid w:val="00DB66C8"/>
    <w:rsid w:val="00F1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A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C27AF"/>
  </w:style>
  <w:style w:type="paragraph" w:styleId="BalloonText">
    <w:name w:val="Balloon Text"/>
    <w:basedOn w:val="Normal"/>
    <w:link w:val="BalloonTextChar"/>
    <w:uiPriority w:val="99"/>
    <w:semiHidden/>
    <w:unhideWhenUsed/>
    <w:rsid w:val="004A6702"/>
    <w:rPr>
      <w:rFonts w:ascii="Tahoma" w:hAnsi="Tahoma" w:cs="Tahoma"/>
      <w:sz w:val="16"/>
      <w:szCs w:val="16"/>
    </w:rPr>
  </w:style>
  <w:style w:type="character" w:customStyle="1" w:styleId="BalloonTextChar">
    <w:name w:val="Balloon Text Char"/>
    <w:basedOn w:val="DefaultParagraphFont"/>
    <w:link w:val="BalloonText"/>
    <w:uiPriority w:val="99"/>
    <w:semiHidden/>
    <w:rsid w:val="004A6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A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C27AF"/>
  </w:style>
  <w:style w:type="paragraph" w:styleId="BalloonText">
    <w:name w:val="Balloon Text"/>
    <w:basedOn w:val="Normal"/>
    <w:link w:val="BalloonTextChar"/>
    <w:uiPriority w:val="99"/>
    <w:semiHidden/>
    <w:unhideWhenUsed/>
    <w:rsid w:val="004A6702"/>
    <w:rPr>
      <w:rFonts w:ascii="Tahoma" w:hAnsi="Tahoma" w:cs="Tahoma"/>
      <w:sz w:val="16"/>
      <w:szCs w:val="16"/>
    </w:rPr>
  </w:style>
  <w:style w:type="character" w:customStyle="1" w:styleId="BalloonTextChar">
    <w:name w:val="Balloon Text Char"/>
    <w:basedOn w:val="DefaultParagraphFont"/>
    <w:link w:val="BalloonText"/>
    <w:uiPriority w:val="99"/>
    <w:semiHidden/>
    <w:rsid w:val="004A6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2245">
      <w:bodyDiv w:val="1"/>
      <w:marLeft w:val="0"/>
      <w:marRight w:val="0"/>
      <w:marTop w:val="0"/>
      <w:marBottom w:val="0"/>
      <w:divBdr>
        <w:top w:val="none" w:sz="0" w:space="0" w:color="auto"/>
        <w:left w:val="none" w:sz="0" w:space="0" w:color="auto"/>
        <w:bottom w:val="none" w:sz="0" w:space="0" w:color="auto"/>
        <w:right w:val="none" w:sz="0" w:space="0" w:color="auto"/>
      </w:divBdr>
    </w:div>
    <w:div w:id="19522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file\ADMIN\SIMS\DOCUMENT\Excel\Income%20&amp;%20Expenditure%20spreadsheet%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file\ADMIN\SIMS\DOCUMENT\Excel\Income%20&amp;%20Expenditure%20spreadsheet%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57315756989076005"/>
                  <c:y val="-0.30091578588251072"/>
                </c:manualLayout>
              </c:layout>
              <c:showLegendKey val="0"/>
              <c:showVal val="0"/>
              <c:showCatName val="1"/>
              <c:showSerName val="0"/>
              <c:showPercent val="1"/>
              <c:showBubbleSize val="0"/>
            </c:dLbl>
            <c:dLbl>
              <c:idx val="1"/>
              <c:layout>
                <c:manualLayout>
                  <c:x val="-0.15208202099737533"/>
                  <c:y val="9.4425123942840472E-2"/>
                </c:manualLayout>
              </c:layout>
              <c:showLegendKey val="0"/>
              <c:showVal val="0"/>
              <c:showCatName val="1"/>
              <c:showSerName val="0"/>
              <c:showPercent val="1"/>
              <c:showBubbleSize val="0"/>
            </c:dLbl>
            <c:dLbl>
              <c:idx val="2"/>
              <c:layout>
                <c:manualLayout>
                  <c:x val="-0.19552405949256343"/>
                  <c:y val="3.2381525226013418E-2"/>
                </c:manualLayout>
              </c:layout>
              <c:showLegendKey val="0"/>
              <c:showVal val="0"/>
              <c:showCatName val="1"/>
              <c:showSerName val="0"/>
              <c:showPercent val="1"/>
              <c:showBubbleSize val="0"/>
            </c:dLbl>
            <c:dLbl>
              <c:idx val="3"/>
              <c:layout>
                <c:manualLayout>
                  <c:x val="-5.9433289588801397E-2"/>
                  <c:y val="-5.0834426946631671E-2"/>
                </c:manualLayout>
              </c:layout>
              <c:showLegendKey val="0"/>
              <c:showVal val="0"/>
              <c:showCatName val="1"/>
              <c:showSerName val="0"/>
              <c:showPercent val="1"/>
              <c:showBubbleSize val="0"/>
            </c:dLbl>
            <c:dLbl>
              <c:idx val="4"/>
              <c:layout>
                <c:manualLayout>
                  <c:x val="9.2018952066195162E-2"/>
                  <c:y val="-6.6236263303373913E-2"/>
                </c:manualLayout>
              </c:layout>
              <c:tx>
                <c:rich>
                  <a:bodyPr/>
                  <a:lstStyle/>
                  <a:p>
                    <a:r>
                      <a:rPr lang="en-US"/>
                      <a:t>Capital Formula
0.4%</a:t>
                    </a:r>
                  </a:p>
                </c:rich>
              </c:tx>
              <c:showLegendKey val="0"/>
              <c:showVal val="0"/>
              <c:showCatName val="1"/>
              <c:showSerName val="0"/>
              <c:showPercent val="1"/>
              <c:showBubbleSize val="0"/>
            </c:dLbl>
            <c:dLbl>
              <c:idx val="5"/>
              <c:layout>
                <c:manualLayout>
                  <c:x val="0.25036548556430444"/>
                  <c:y val="-6.392133275007290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Sheet2!$B$5:$G$5</c:f>
              <c:strCache>
                <c:ptCount val="6"/>
                <c:pt idx="0">
                  <c:v>GCC</c:v>
                </c:pt>
                <c:pt idx="1">
                  <c:v>Surplus</c:v>
                </c:pt>
                <c:pt idx="2">
                  <c:v>Pupil Premium</c:v>
                </c:pt>
                <c:pt idx="3">
                  <c:v>Lettings</c:v>
                </c:pt>
                <c:pt idx="4">
                  <c:v>Capital Formula</c:v>
                </c:pt>
                <c:pt idx="5">
                  <c:v>Sports Grant</c:v>
                </c:pt>
              </c:strCache>
            </c:strRef>
          </c:cat>
          <c:val>
            <c:numRef>
              <c:f>Sheet2!$B$6:$G$6</c:f>
              <c:numCache>
                <c:formatCode>#,##0</c:formatCode>
                <c:ptCount val="6"/>
                <c:pt idx="0">
                  <c:v>784793</c:v>
                </c:pt>
                <c:pt idx="1">
                  <c:v>96062</c:v>
                </c:pt>
                <c:pt idx="2">
                  <c:v>41794</c:v>
                </c:pt>
                <c:pt idx="3">
                  <c:v>10000</c:v>
                </c:pt>
                <c:pt idx="4">
                  <c:v>4385</c:v>
                </c:pt>
                <c:pt idx="5">
                  <c:v>14634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1.2764694535895481E-2"/>
          <c:y val="0.92141742884437872"/>
          <c:w val="0.96942468587870034"/>
          <c:h val="6.0447877964596157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0365811190904662E-2"/>
          <c:y val="0.1933861577851694"/>
          <c:w val="0.91032035793667931"/>
          <c:h val="0.69078823692803704"/>
        </c:manualLayout>
      </c:layout>
      <c:pie3DChart>
        <c:varyColors val="1"/>
        <c:ser>
          <c:idx val="0"/>
          <c:order val="0"/>
          <c:dLbls>
            <c:dLbl>
              <c:idx val="0"/>
              <c:layout>
                <c:manualLayout>
                  <c:x val="-0.68416355066574785"/>
                  <c:y val="-9.1491740484214781E-2"/>
                </c:manualLayout>
              </c:layout>
              <c:showLegendKey val="0"/>
              <c:showVal val="0"/>
              <c:showCatName val="1"/>
              <c:showSerName val="0"/>
              <c:showPercent val="1"/>
              <c:showBubbleSize val="0"/>
            </c:dLbl>
            <c:dLbl>
              <c:idx val="1"/>
              <c:layout>
                <c:manualLayout>
                  <c:x val="-0.15208202099737533"/>
                  <c:y val="9.4425123942840472E-2"/>
                </c:manualLayout>
              </c:layout>
              <c:showLegendKey val="0"/>
              <c:showVal val="0"/>
              <c:showCatName val="1"/>
              <c:showSerName val="0"/>
              <c:showPercent val="1"/>
              <c:showBubbleSize val="0"/>
            </c:dLbl>
            <c:dLbl>
              <c:idx val="2"/>
              <c:layout>
                <c:manualLayout>
                  <c:x val="-0.19552405949256343"/>
                  <c:y val="3.2381525226013418E-2"/>
                </c:manualLayout>
              </c:layout>
              <c:showLegendKey val="0"/>
              <c:showVal val="0"/>
              <c:showCatName val="1"/>
              <c:showSerName val="0"/>
              <c:showPercent val="1"/>
              <c:showBubbleSize val="0"/>
            </c:dLbl>
            <c:dLbl>
              <c:idx val="3"/>
              <c:layout>
                <c:manualLayout>
                  <c:x val="-5.9433289588801397E-2"/>
                  <c:y val="-5.0834426946631671E-2"/>
                </c:manualLayout>
              </c:layout>
              <c:showLegendKey val="0"/>
              <c:showVal val="0"/>
              <c:showCatName val="1"/>
              <c:showSerName val="0"/>
              <c:showPercent val="1"/>
              <c:showBubbleSize val="0"/>
            </c:dLbl>
            <c:dLbl>
              <c:idx val="4"/>
              <c:layout>
                <c:manualLayout>
                  <c:x val="6.6790244969378826E-2"/>
                  <c:y val="-6.6236147564887729E-2"/>
                </c:manualLayout>
              </c:layout>
              <c:showLegendKey val="0"/>
              <c:showVal val="0"/>
              <c:showCatName val="1"/>
              <c:showSerName val="0"/>
              <c:showPercent val="1"/>
              <c:showBubbleSize val="0"/>
            </c:dLbl>
            <c:dLbl>
              <c:idx val="5"/>
              <c:layout>
                <c:manualLayout>
                  <c:x val="0.17972539726652739"/>
                  <c:y val="-4.9112961827658119E-2"/>
                </c:manualLayout>
              </c:layout>
              <c:tx>
                <c:rich>
                  <a:bodyPr/>
                  <a:lstStyle/>
                  <a:p>
                    <a:r>
                      <a:rPr lang="en-US"/>
                      <a:t>Capital Formula
0.4%</a:t>
                    </a:r>
                  </a:p>
                </c:rich>
              </c:tx>
              <c:showLegendKey val="0"/>
              <c:showVal val="0"/>
              <c:showCatName val="1"/>
              <c:showSerName val="0"/>
              <c:showPercent val="1"/>
              <c:showBubbleSize val="0"/>
            </c:dLbl>
            <c:dLbl>
              <c:idx val="6"/>
              <c:layout>
                <c:manualLayout>
                  <c:x val="0.22086316486632906"/>
                  <c:y val="3.377865105996417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Sheet3!$B$5:$H$5</c:f>
              <c:strCache>
                <c:ptCount val="7"/>
                <c:pt idx="0">
                  <c:v>Salaries</c:v>
                </c:pt>
                <c:pt idx="1">
                  <c:v>Premises</c:v>
                </c:pt>
                <c:pt idx="2">
                  <c:v>Resources</c:v>
                </c:pt>
                <c:pt idx="3">
                  <c:v>Admin</c:v>
                </c:pt>
                <c:pt idx="4">
                  <c:v>Contingency</c:v>
                </c:pt>
                <c:pt idx="5">
                  <c:v>Capital Formula</c:v>
                </c:pt>
                <c:pt idx="6">
                  <c:v>Sports Grant</c:v>
                </c:pt>
              </c:strCache>
            </c:strRef>
          </c:cat>
          <c:val>
            <c:numRef>
              <c:f>Sheet3!$B$6:$H$6</c:f>
              <c:numCache>
                <c:formatCode>General</c:formatCode>
                <c:ptCount val="7"/>
                <c:pt idx="0">
                  <c:v>690194</c:v>
                </c:pt>
                <c:pt idx="1">
                  <c:v>92908</c:v>
                </c:pt>
                <c:pt idx="2">
                  <c:v>38796</c:v>
                </c:pt>
                <c:pt idx="3">
                  <c:v>31292</c:v>
                </c:pt>
                <c:pt idx="4">
                  <c:v>17707</c:v>
                </c:pt>
                <c:pt idx="5">
                  <c:v>4000</c:v>
                </c:pt>
                <c:pt idx="6">
                  <c:v>14634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0333284134190104E-2"/>
          <c:y val="0.89814809046679023"/>
          <c:w val="0.95681036988154267"/>
          <c:h val="8.3717216342184597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2016-09-28T14:34:00Z</dcterms:created>
  <dcterms:modified xsi:type="dcterms:W3CDTF">2016-09-28T15:01:00Z</dcterms:modified>
</cp:coreProperties>
</file>