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AE" w:rsidRDefault="00585CAE" w:rsidP="00585CAE">
      <w:pPr>
        <w:rPr>
          <w:b/>
          <w:sz w:val="20"/>
          <w:szCs w:val="20"/>
        </w:rPr>
      </w:pPr>
      <w:bookmarkStart w:id="0" w:name="_GoBack"/>
      <w:bookmarkEnd w:id="0"/>
      <w:r w:rsidRPr="001F6821">
        <w:rPr>
          <w:b/>
          <w:sz w:val="20"/>
          <w:szCs w:val="20"/>
        </w:rPr>
        <w:t xml:space="preserve">Early Years Foundation </w:t>
      </w:r>
      <w:r>
        <w:rPr>
          <w:b/>
          <w:sz w:val="20"/>
          <w:szCs w:val="20"/>
        </w:rPr>
        <w:t>S</w:t>
      </w:r>
      <w:r w:rsidRPr="001F6821">
        <w:rPr>
          <w:b/>
          <w:sz w:val="20"/>
          <w:szCs w:val="20"/>
        </w:rPr>
        <w:t>tage, Year Reception.</w:t>
      </w:r>
    </w:p>
    <w:p w:rsidR="005B7EC1" w:rsidRDefault="005B7EC1" w:rsidP="00585CAE">
      <w:pPr>
        <w:rPr>
          <w:b/>
          <w:sz w:val="20"/>
          <w:szCs w:val="20"/>
        </w:rPr>
      </w:pPr>
    </w:p>
    <w:p w:rsidR="005B7EC1" w:rsidRPr="00BA09A4" w:rsidRDefault="005B7EC1" w:rsidP="005B7EC1">
      <w:pPr>
        <w:rPr>
          <w:b/>
          <w:sz w:val="20"/>
          <w:szCs w:val="20"/>
        </w:rPr>
      </w:pPr>
      <w:r w:rsidRPr="004A3D65">
        <w:rPr>
          <w:b/>
          <w:sz w:val="20"/>
          <w:szCs w:val="20"/>
        </w:rPr>
        <w:t>Early Years Foundation Stage</w:t>
      </w:r>
      <w:r>
        <w:rPr>
          <w:b/>
          <w:sz w:val="20"/>
          <w:szCs w:val="20"/>
        </w:rPr>
        <w:t>, EYFS.</w:t>
      </w:r>
    </w:p>
    <w:p w:rsidR="005B7EC1" w:rsidRPr="006D406E" w:rsidRDefault="005B7EC1" w:rsidP="005B7EC1">
      <w:pPr>
        <w:autoSpaceDE w:val="0"/>
        <w:autoSpaceDN w:val="0"/>
        <w:adjustRightInd w:val="0"/>
        <w:rPr>
          <w:rFonts w:cs="Calibri"/>
          <w:color w:val="000000"/>
          <w:sz w:val="20"/>
          <w:szCs w:val="20"/>
        </w:rPr>
      </w:pPr>
      <w:r w:rsidRPr="006D406E">
        <w:rPr>
          <w:rFonts w:cs="Calibri"/>
          <w:color w:val="000000"/>
          <w:sz w:val="20"/>
          <w:szCs w:val="20"/>
        </w:rPr>
        <w:t xml:space="preserve">The primary purpose of the EYFS profile is to provide a reliable, valid and accurate assessment of individual children at the end of the EYFS. It is based on ongoing observation and assessment in three prime and four specific areas of learning and the three characteristics of effective learning. </w:t>
      </w:r>
    </w:p>
    <w:p w:rsidR="005B7EC1" w:rsidRPr="006D406E" w:rsidRDefault="005B7EC1" w:rsidP="005B7EC1">
      <w:pPr>
        <w:autoSpaceDE w:val="0"/>
        <w:autoSpaceDN w:val="0"/>
        <w:adjustRightInd w:val="0"/>
        <w:rPr>
          <w:rFonts w:cs="Calibri"/>
          <w:color w:val="000000"/>
          <w:sz w:val="20"/>
          <w:szCs w:val="20"/>
        </w:rPr>
      </w:pPr>
    </w:p>
    <w:p w:rsidR="005B7EC1" w:rsidRPr="006D406E" w:rsidRDefault="005B7EC1" w:rsidP="005B7EC1">
      <w:pPr>
        <w:autoSpaceDE w:val="0"/>
        <w:autoSpaceDN w:val="0"/>
        <w:adjustRightInd w:val="0"/>
        <w:rPr>
          <w:rFonts w:cs="Calibri"/>
          <w:color w:val="000000"/>
          <w:sz w:val="20"/>
          <w:szCs w:val="20"/>
        </w:rPr>
      </w:pPr>
      <w:r w:rsidRPr="006D406E">
        <w:rPr>
          <w:rFonts w:cs="Calibri"/>
          <w:b/>
          <w:color w:val="000000"/>
          <w:sz w:val="20"/>
          <w:szCs w:val="20"/>
        </w:rPr>
        <w:t>Prime areas:</w:t>
      </w:r>
      <w:r w:rsidRPr="006D406E">
        <w:rPr>
          <w:rFonts w:cs="Calibri"/>
          <w:color w:val="000000"/>
          <w:sz w:val="20"/>
          <w:szCs w:val="20"/>
        </w:rPr>
        <w:t xml:space="preserve"> Communication and language, physical development and personal, social and emotional development. </w:t>
      </w:r>
    </w:p>
    <w:p w:rsidR="005B7EC1" w:rsidRPr="006D406E" w:rsidRDefault="005B7EC1" w:rsidP="005B7EC1">
      <w:pPr>
        <w:autoSpaceDE w:val="0"/>
        <w:autoSpaceDN w:val="0"/>
        <w:adjustRightInd w:val="0"/>
        <w:rPr>
          <w:rFonts w:cs="Calibri"/>
          <w:color w:val="000000"/>
          <w:sz w:val="20"/>
          <w:szCs w:val="20"/>
        </w:rPr>
      </w:pPr>
    </w:p>
    <w:p w:rsidR="005B7EC1" w:rsidRPr="006D406E" w:rsidRDefault="005B7EC1" w:rsidP="005B7EC1">
      <w:pPr>
        <w:autoSpaceDE w:val="0"/>
        <w:autoSpaceDN w:val="0"/>
        <w:adjustRightInd w:val="0"/>
        <w:rPr>
          <w:rFonts w:cs="Calibri"/>
          <w:color w:val="000000"/>
          <w:sz w:val="20"/>
          <w:szCs w:val="20"/>
        </w:rPr>
      </w:pPr>
      <w:r w:rsidRPr="006D406E">
        <w:rPr>
          <w:rFonts w:cs="Calibri"/>
          <w:b/>
          <w:color w:val="000000"/>
          <w:sz w:val="20"/>
          <w:szCs w:val="20"/>
        </w:rPr>
        <w:t>Specific areas:</w:t>
      </w:r>
      <w:r w:rsidRPr="006D406E">
        <w:rPr>
          <w:rFonts w:cs="Calibri"/>
          <w:color w:val="000000"/>
          <w:sz w:val="20"/>
          <w:szCs w:val="20"/>
        </w:rPr>
        <w:t xml:space="preserve"> Literacy, mathematics, understanding the world and expressive arts and design. </w:t>
      </w:r>
    </w:p>
    <w:p w:rsidR="005B7EC1" w:rsidRPr="006D406E" w:rsidRDefault="005B7EC1" w:rsidP="005B7EC1">
      <w:pPr>
        <w:rPr>
          <w:rFonts w:cs="Calibri"/>
          <w:color w:val="000000"/>
          <w:sz w:val="20"/>
          <w:szCs w:val="20"/>
        </w:rPr>
      </w:pPr>
    </w:p>
    <w:p w:rsidR="005B7EC1" w:rsidRPr="006D406E" w:rsidRDefault="005B7EC1" w:rsidP="005B7EC1">
      <w:pPr>
        <w:rPr>
          <w:rFonts w:cs="Calibri"/>
          <w:color w:val="000000"/>
          <w:sz w:val="20"/>
          <w:szCs w:val="20"/>
        </w:rPr>
      </w:pPr>
      <w:r w:rsidRPr="006D406E">
        <w:rPr>
          <w:rFonts w:cs="Calibri"/>
          <w:b/>
          <w:color w:val="000000"/>
          <w:sz w:val="20"/>
          <w:szCs w:val="20"/>
        </w:rPr>
        <w:t>Characteristics of effective learning:</w:t>
      </w:r>
      <w:r w:rsidRPr="006D406E">
        <w:rPr>
          <w:rFonts w:cs="Calibri"/>
          <w:color w:val="000000"/>
          <w:sz w:val="20"/>
          <w:szCs w:val="20"/>
        </w:rPr>
        <w:t xml:space="preserve"> Playing and exploring, active learning and creating and thinking critically.</w:t>
      </w:r>
    </w:p>
    <w:p w:rsidR="005B7EC1" w:rsidRPr="006D406E" w:rsidRDefault="005B7EC1" w:rsidP="005B7EC1">
      <w:pPr>
        <w:autoSpaceDE w:val="0"/>
        <w:autoSpaceDN w:val="0"/>
        <w:adjustRightInd w:val="0"/>
        <w:rPr>
          <w:rFonts w:cs="Calibri"/>
          <w:color w:val="000000"/>
          <w:sz w:val="20"/>
          <w:szCs w:val="20"/>
        </w:rPr>
      </w:pPr>
    </w:p>
    <w:p w:rsidR="005B7EC1" w:rsidRPr="006D406E" w:rsidRDefault="005B7EC1" w:rsidP="005B7EC1">
      <w:pPr>
        <w:rPr>
          <w:rFonts w:cs="Calibri"/>
          <w:color w:val="000000"/>
          <w:sz w:val="20"/>
          <w:szCs w:val="20"/>
        </w:rPr>
      </w:pPr>
      <w:r w:rsidRPr="006D406E">
        <w:rPr>
          <w:rFonts w:cs="Calibri"/>
          <w:color w:val="000000"/>
          <w:sz w:val="20"/>
          <w:szCs w:val="20"/>
        </w:rPr>
        <w:t>A good level of development measure is defined as a child achieving at least the expected level in the early learning goals in the Prime areas of learning (personal, social and emotional development; physical development and communication and language) and the early learning goals in the two specific areas of literacy and mathematics.</w:t>
      </w:r>
    </w:p>
    <w:p w:rsidR="00585CAE" w:rsidRPr="006D406E" w:rsidRDefault="00585CAE" w:rsidP="00585CAE">
      <w:pPr>
        <w:rPr>
          <w:sz w:val="20"/>
          <w:szCs w:val="20"/>
        </w:rPr>
      </w:pPr>
    </w:p>
    <w:tbl>
      <w:tblPr>
        <w:tblStyle w:val="TableGrid"/>
        <w:tblW w:w="0" w:type="auto"/>
        <w:tblInd w:w="108" w:type="dxa"/>
        <w:tblLook w:val="04A0" w:firstRow="1" w:lastRow="0" w:firstColumn="1" w:lastColumn="0" w:noHBand="0" w:noVBand="1"/>
      </w:tblPr>
      <w:tblGrid>
        <w:gridCol w:w="2282"/>
        <w:gridCol w:w="2092"/>
        <w:gridCol w:w="2092"/>
        <w:gridCol w:w="1942"/>
      </w:tblGrid>
      <w:tr w:rsidR="00585CAE" w:rsidRPr="00E0690A" w:rsidTr="009B1DC1">
        <w:tc>
          <w:tcPr>
            <w:tcW w:w="2282" w:type="dxa"/>
          </w:tcPr>
          <w:p w:rsidR="00585CAE" w:rsidRPr="00E0690A" w:rsidRDefault="00585CAE" w:rsidP="009B1DC1">
            <w:pPr>
              <w:rPr>
                <w:b/>
                <w:sz w:val="20"/>
                <w:szCs w:val="20"/>
              </w:rPr>
            </w:pPr>
            <w:r w:rsidRPr="00E0690A">
              <w:rPr>
                <w:b/>
                <w:sz w:val="20"/>
                <w:szCs w:val="20"/>
              </w:rPr>
              <w:t>Good level of development</w:t>
            </w:r>
          </w:p>
        </w:tc>
        <w:tc>
          <w:tcPr>
            <w:tcW w:w="2092" w:type="dxa"/>
          </w:tcPr>
          <w:p w:rsidR="00585CAE" w:rsidRPr="00E0690A" w:rsidRDefault="00585CAE" w:rsidP="009B1DC1">
            <w:pPr>
              <w:rPr>
                <w:sz w:val="20"/>
                <w:szCs w:val="20"/>
              </w:rPr>
            </w:pPr>
          </w:p>
        </w:tc>
        <w:tc>
          <w:tcPr>
            <w:tcW w:w="2092" w:type="dxa"/>
          </w:tcPr>
          <w:p w:rsidR="00585CAE" w:rsidRPr="00E0690A" w:rsidRDefault="00585CAE" w:rsidP="009B1DC1">
            <w:pPr>
              <w:rPr>
                <w:sz w:val="20"/>
                <w:szCs w:val="20"/>
              </w:rPr>
            </w:pPr>
          </w:p>
        </w:tc>
        <w:tc>
          <w:tcPr>
            <w:tcW w:w="1942" w:type="dxa"/>
          </w:tcPr>
          <w:p w:rsidR="00585CAE" w:rsidRPr="00E0690A" w:rsidRDefault="00585CAE" w:rsidP="009B1DC1">
            <w:pPr>
              <w:rPr>
                <w:sz w:val="20"/>
                <w:szCs w:val="20"/>
              </w:rPr>
            </w:pPr>
          </w:p>
        </w:tc>
      </w:tr>
      <w:tr w:rsidR="00585CAE" w:rsidRPr="00E0690A" w:rsidTr="009B1DC1">
        <w:tc>
          <w:tcPr>
            <w:tcW w:w="2282" w:type="dxa"/>
          </w:tcPr>
          <w:p w:rsidR="00585CAE" w:rsidRPr="00E0690A" w:rsidRDefault="00585CAE" w:rsidP="009B1DC1">
            <w:pPr>
              <w:rPr>
                <w:sz w:val="20"/>
                <w:szCs w:val="20"/>
              </w:rPr>
            </w:pPr>
          </w:p>
        </w:tc>
        <w:tc>
          <w:tcPr>
            <w:tcW w:w="2092" w:type="dxa"/>
            <w:shd w:val="clear" w:color="auto" w:fill="D9D9D9" w:themeFill="background1" w:themeFillShade="D9"/>
          </w:tcPr>
          <w:p w:rsidR="00585CAE" w:rsidRPr="00E0690A" w:rsidRDefault="00585CAE" w:rsidP="009B1DC1">
            <w:pPr>
              <w:rPr>
                <w:sz w:val="20"/>
                <w:szCs w:val="20"/>
              </w:rPr>
            </w:pPr>
            <w:r w:rsidRPr="00E0690A">
              <w:rPr>
                <w:sz w:val="20"/>
                <w:szCs w:val="20"/>
              </w:rPr>
              <w:t>2014</w:t>
            </w:r>
          </w:p>
        </w:tc>
        <w:tc>
          <w:tcPr>
            <w:tcW w:w="2092" w:type="dxa"/>
            <w:shd w:val="clear" w:color="auto" w:fill="D9D9D9" w:themeFill="background1" w:themeFillShade="D9"/>
          </w:tcPr>
          <w:p w:rsidR="00585CAE" w:rsidRPr="00E0690A" w:rsidRDefault="00585CAE" w:rsidP="009B1DC1">
            <w:pPr>
              <w:rPr>
                <w:sz w:val="20"/>
                <w:szCs w:val="20"/>
              </w:rPr>
            </w:pPr>
            <w:r w:rsidRPr="00E0690A">
              <w:rPr>
                <w:sz w:val="20"/>
                <w:szCs w:val="20"/>
              </w:rPr>
              <w:t>2015</w:t>
            </w:r>
          </w:p>
        </w:tc>
        <w:tc>
          <w:tcPr>
            <w:tcW w:w="1942" w:type="dxa"/>
            <w:shd w:val="clear" w:color="auto" w:fill="D9D9D9" w:themeFill="background1" w:themeFillShade="D9"/>
          </w:tcPr>
          <w:p w:rsidR="00585CAE" w:rsidRPr="00E0690A" w:rsidRDefault="00585CAE" w:rsidP="009B1DC1">
            <w:pPr>
              <w:rPr>
                <w:sz w:val="20"/>
                <w:szCs w:val="20"/>
              </w:rPr>
            </w:pPr>
            <w:r w:rsidRPr="00E0690A">
              <w:rPr>
                <w:sz w:val="20"/>
                <w:szCs w:val="20"/>
              </w:rPr>
              <w:t>2016</w:t>
            </w:r>
          </w:p>
        </w:tc>
      </w:tr>
      <w:tr w:rsidR="00585CAE" w:rsidRPr="00E0690A" w:rsidTr="009B1DC1">
        <w:tc>
          <w:tcPr>
            <w:tcW w:w="2282" w:type="dxa"/>
          </w:tcPr>
          <w:p w:rsidR="00585CAE" w:rsidRPr="00E0690A" w:rsidRDefault="00585CAE" w:rsidP="009B1DC1">
            <w:pPr>
              <w:rPr>
                <w:sz w:val="20"/>
                <w:szCs w:val="20"/>
              </w:rPr>
            </w:pPr>
            <w:r w:rsidRPr="00E0690A">
              <w:rPr>
                <w:sz w:val="20"/>
                <w:szCs w:val="20"/>
              </w:rPr>
              <w:t>School</w:t>
            </w:r>
          </w:p>
        </w:tc>
        <w:tc>
          <w:tcPr>
            <w:tcW w:w="2092" w:type="dxa"/>
          </w:tcPr>
          <w:p w:rsidR="00585CAE" w:rsidRPr="00E0690A" w:rsidRDefault="00585CAE" w:rsidP="009B1DC1">
            <w:pPr>
              <w:rPr>
                <w:sz w:val="20"/>
                <w:szCs w:val="20"/>
              </w:rPr>
            </w:pPr>
            <w:r w:rsidRPr="00E0690A">
              <w:rPr>
                <w:sz w:val="20"/>
                <w:szCs w:val="20"/>
              </w:rPr>
              <w:t>70</w:t>
            </w:r>
          </w:p>
        </w:tc>
        <w:tc>
          <w:tcPr>
            <w:tcW w:w="2092" w:type="dxa"/>
          </w:tcPr>
          <w:p w:rsidR="00585CAE" w:rsidRPr="00E0690A" w:rsidRDefault="00585CAE" w:rsidP="009B1DC1">
            <w:pPr>
              <w:rPr>
                <w:sz w:val="20"/>
                <w:szCs w:val="20"/>
              </w:rPr>
            </w:pPr>
            <w:r w:rsidRPr="00E0690A">
              <w:rPr>
                <w:sz w:val="20"/>
                <w:szCs w:val="20"/>
              </w:rPr>
              <w:t>76</w:t>
            </w:r>
          </w:p>
        </w:tc>
        <w:tc>
          <w:tcPr>
            <w:tcW w:w="1942" w:type="dxa"/>
          </w:tcPr>
          <w:p w:rsidR="00585CAE" w:rsidRPr="00E0690A" w:rsidRDefault="00585CAE" w:rsidP="009B1DC1">
            <w:pPr>
              <w:rPr>
                <w:sz w:val="20"/>
                <w:szCs w:val="20"/>
              </w:rPr>
            </w:pPr>
            <w:r w:rsidRPr="00E0690A">
              <w:rPr>
                <w:sz w:val="20"/>
                <w:szCs w:val="20"/>
              </w:rPr>
              <w:t>71.9</w:t>
            </w:r>
          </w:p>
        </w:tc>
      </w:tr>
      <w:tr w:rsidR="00585CAE" w:rsidRPr="00E0690A" w:rsidTr="009B1DC1">
        <w:tc>
          <w:tcPr>
            <w:tcW w:w="2282" w:type="dxa"/>
          </w:tcPr>
          <w:p w:rsidR="00585CAE" w:rsidRPr="00E0690A" w:rsidRDefault="00585CAE" w:rsidP="009B1DC1">
            <w:pPr>
              <w:rPr>
                <w:sz w:val="20"/>
                <w:szCs w:val="20"/>
              </w:rPr>
            </w:pPr>
            <w:r w:rsidRPr="00E0690A">
              <w:rPr>
                <w:sz w:val="20"/>
                <w:szCs w:val="20"/>
              </w:rPr>
              <w:t>National</w:t>
            </w:r>
          </w:p>
        </w:tc>
        <w:tc>
          <w:tcPr>
            <w:tcW w:w="2092" w:type="dxa"/>
          </w:tcPr>
          <w:p w:rsidR="00585CAE" w:rsidRPr="00E0690A" w:rsidRDefault="00585CAE" w:rsidP="009B1DC1">
            <w:pPr>
              <w:rPr>
                <w:sz w:val="20"/>
                <w:szCs w:val="20"/>
              </w:rPr>
            </w:pPr>
            <w:r w:rsidRPr="00E0690A">
              <w:rPr>
                <w:sz w:val="20"/>
                <w:szCs w:val="20"/>
              </w:rPr>
              <w:t>60.4</w:t>
            </w:r>
          </w:p>
        </w:tc>
        <w:tc>
          <w:tcPr>
            <w:tcW w:w="2092" w:type="dxa"/>
          </w:tcPr>
          <w:p w:rsidR="00585CAE" w:rsidRPr="00E0690A" w:rsidRDefault="00585CAE" w:rsidP="009B1DC1">
            <w:pPr>
              <w:rPr>
                <w:sz w:val="20"/>
                <w:szCs w:val="20"/>
              </w:rPr>
            </w:pPr>
            <w:r w:rsidRPr="00E0690A">
              <w:rPr>
                <w:sz w:val="20"/>
                <w:szCs w:val="20"/>
              </w:rPr>
              <w:t>66.3</w:t>
            </w:r>
          </w:p>
        </w:tc>
        <w:tc>
          <w:tcPr>
            <w:tcW w:w="1942" w:type="dxa"/>
          </w:tcPr>
          <w:p w:rsidR="00585CAE" w:rsidRPr="00E0690A" w:rsidRDefault="00585CAE" w:rsidP="009B1DC1">
            <w:pPr>
              <w:rPr>
                <w:sz w:val="20"/>
                <w:szCs w:val="20"/>
              </w:rPr>
            </w:pPr>
            <w:r w:rsidRPr="00E0690A">
              <w:rPr>
                <w:sz w:val="20"/>
                <w:szCs w:val="20"/>
              </w:rPr>
              <w:t>66.9</w:t>
            </w:r>
          </w:p>
        </w:tc>
      </w:tr>
    </w:tbl>
    <w:p w:rsidR="00585CAE" w:rsidRPr="00E0690A" w:rsidRDefault="00585CAE" w:rsidP="00585CAE">
      <w:pPr>
        <w:rPr>
          <w:sz w:val="20"/>
          <w:szCs w:val="20"/>
          <w:highlight w:val="yellow"/>
        </w:rPr>
      </w:pPr>
    </w:p>
    <w:p w:rsidR="00585CAE" w:rsidRPr="00E0690A" w:rsidRDefault="00585CAE" w:rsidP="00585CAE">
      <w:pPr>
        <w:rPr>
          <w:b/>
          <w:sz w:val="20"/>
          <w:szCs w:val="20"/>
        </w:rPr>
      </w:pPr>
      <w:r w:rsidRPr="00E0690A">
        <w:rPr>
          <w:b/>
          <w:sz w:val="20"/>
          <w:szCs w:val="20"/>
        </w:rPr>
        <w:t>Phonics</w:t>
      </w:r>
    </w:p>
    <w:p w:rsidR="00585CAE" w:rsidRPr="00E0690A" w:rsidRDefault="00585CAE" w:rsidP="00585CAE">
      <w:pPr>
        <w:rPr>
          <w:b/>
          <w:sz w:val="20"/>
          <w:szCs w:val="20"/>
        </w:rPr>
      </w:pPr>
      <w:r w:rsidRPr="00E0690A">
        <w:rPr>
          <w:rFonts w:eastAsia="Times New Roman" w:cs="Times New Roman"/>
          <w:sz w:val="20"/>
          <w:szCs w:val="20"/>
          <w:lang w:val="en" w:eastAsia="en-GB"/>
        </w:rPr>
        <w:t>The phonics screening check is designed to confirm whether pupils have learnt phonic decoding to an appropriate standard. It will identify pupils who need extra help to improve their decoding skills.</w:t>
      </w:r>
    </w:p>
    <w:p w:rsidR="00585CAE" w:rsidRPr="001F6821" w:rsidRDefault="00585CAE" w:rsidP="00585CAE">
      <w:pPr>
        <w:spacing w:before="100" w:beforeAutospacing="1" w:after="100" w:afterAutospacing="1"/>
        <w:rPr>
          <w:rFonts w:eastAsia="Times New Roman" w:cs="Times New Roman"/>
          <w:sz w:val="20"/>
          <w:szCs w:val="20"/>
          <w:lang w:val="en" w:eastAsia="en-GB"/>
        </w:rPr>
      </w:pPr>
      <w:r w:rsidRPr="001F6821">
        <w:rPr>
          <w:rFonts w:eastAsia="Times New Roman" w:cs="Times New Roman"/>
          <w:sz w:val="20"/>
          <w:szCs w:val="20"/>
          <w:lang w:val="en" w:eastAsia="en-GB"/>
        </w:rPr>
        <w:t>The check consists of 20 real words and 20 pseudo words that a pupil reads aloud to the teacher.</w:t>
      </w:r>
    </w:p>
    <w:p w:rsidR="00585CAE" w:rsidRPr="001F6821" w:rsidRDefault="00585CAE" w:rsidP="00585CAE">
      <w:pPr>
        <w:rPr>
          <w:b/>
          <w:sz w:val="20"/>
          <w:szCs w:val="20"/>
        </w:rPr>
      </w:pPr>
      <w:r w:rsidRPr="001F6821">
        <w:rPr>
          <w:b/>
          <w:sz w:val="20"/>
          <w:szCs w:val="20"/>
        </w:rPr>
        <w:t xml:space="preserve">Phonics </w:t>
      </w:r>
    </w:p>
    <w:p w:rsidR="00585CAE" w:rsidRPr="001F6821" w:rsidRDefault="00585CAE" w:rsidP="00585CAE">
      <w:pPr>
        <w:pStyle w:val="ListParagraph"/>
        <w:numPr>
          <w:ilvl w:val="0"/>
          <w:numId w:val="1"/>
        </w:numPr>
        <w:spacing w:after="200" w:line="276" w:lineRule="auto"/>
        <w:rPr>
          <w:sz w:val="20"/>
          <w:szCs w:val="20"/>
        </w:rPr>
      </w:pPr>
      <w:r w:rsidRPr="001F6821">
        <w:rPr>
          <w:sz w:val="20"/>
          <w:szCs w:val="20"/>
        </w:rPr>
        <w:t xml:space="preserve">28/30 children passed. </w:t>
      </w:r>
    </w:p>
    <w:p w:rsidR="00585CAE" w:rsidRPr="001F6821" w:rsidRDefault="00585CAE" w:rsidP="00585CAE">
      <w:pPr>
        <w:pStyle w:val="ListParagraph"/>
        <w:numPr>
          <w:ilvl w:val="0"/>
          <w:numId w:val="1"/>
        </w:numPr>
        <w:spacing w:after="200" w:line="276" w:lineRule="auto"/>
        <w:rPr>
          <w:sz w:val="20"/>
          <w:szCs w:val="20"/>
        </w:rPr>
      </w:pPr>
      <w:r w:rsidRPr="001F6821">
        <w:rPr>
          <w:sz w:val="20"/>
          <w:szCs w:val="20"/>
        </w:rPr>
        <w:t>School Pass rate 93%</w:t>
      </w:r>
    </w:p>
    <w:p w:rsidR="00585CAE" w:rsidRDefault="00585CAE" w:rsidP="00585CAE">
      <w:pPr>
        <w:rPr>
          <w:b/>
          <w:sz w:val="20"/>
          <w:szCs w:val="20"/>
        </w:rPr>
      </w:pPr>
      <w:r w:rsidRPr="001F6821">
        <w:rPr>
          <w:b/>
          <w:sz w:val="20"/>
          <w:szCs w:val="20"/>
        </w:rPr>
        <w:t>Key Stage 1</w:t>
      </w:r>
    </w:p>
    <w:p w:rsidR="00585CAE" w:rsidRDefault="00585CAE" w:rsidP="00585CAE">
      <w:pPr>
        <w:rPr>
          <w:b/>
          <w:sz w:val="20"/>
          <w:szCs w:val="20"/>
        </w:rPr>
      </w:pPr>
    </w:p>
    <w:p w:rsidR="00585CAE" w:rsidRPr="003B75A8" w:rsidRDefault="00585CAE" w:rsidP="00585CAE">
      <w:pPr>
        <w:rPr>
          <w:sz w:val="20"/>
          <w:szCs w:val="20"/>
          <w:lang w:val="en"/>
        </w:rPr>
      </w:pPr>
      <w:r w:rsidRPr="003B75A8">
        <w:rPr>
          <w:sz w:val="20"/>
          <w:szCs w:val="20"/>
          <w:lang w:val="en"/>
        </w:rPr>
        <w:t xml:space="preserve">From 2016, KS1 national curriculum test outcomes will no longer be reported using levels. </w:t>
      </w:r>
      <w:hyperlink r:id="rId5" w:history="1">
        <w:r w:rsidRPr="003B75A8">
          <w:rPr>
            <w:rStyle w:val="Hyperlink"/>
            <w:sz w:val="20"/>
            <w:szCs w:val="20"/>
            <w:lang w:val="en"/>
          </w:rPr>
          <w:t>Scaled scores</w:t>
        </w:r>
      </w:hyperlink>
      <w:r w:rsidRPr="003B75A8">
        <w:rPr>
          <w:sz w:val="20"/>
          <w:szCs w:val="20"/>
          <w:lang w:val="en"/>
        </w:rPr>
        <w:t xml:space="preserve"> will be used instead.</w:t>
      </w:r>
    </w:p>
    <w:p w:rsidR="00585CAE" w:rsidRPr="003B75A8" w:rsidRDefault="00585CAE" w:rsidP="00585CAE">
      <w:pPr>
        <w:rPr>
          <w:sz w:val="20"/>
          <w:szCs w:val="20"/>
          <w:lang w:val="en"/>
        </w:rPr>
      </w:pPr>
    </w:p>
    <w:p w:rsidR="00585CAE" w:rsidRPr="003B75A8" w:rsidRDefault="00585CAE" w:rsidP="00585CAE">
      <w:pPr>
        <w:rPr>
          <w:sz w:val="20"/>
          <w:szCs w:val="20"/>
        </w:rPr>
      </w:pPr>
      <w:r w:rsidRPr="003B75A8">
        <w:rPr>
          <w:sz w:val="20"/>
          <w:szCs w:val="20"/>
        </w:rPr>
        <w:t>A new set of KS1 national curriculum tests replaces the previous tests and tasks. The new tests consist of:</w:t>
      </w:r>
    </w:p>
    <w:p w:rsidR="00585CAE" w:rsidRPr="003B75A8" w:rsidRDefault="00585CAE" w:rsidP="00585CAE">
      <w:pPr>
        <w:rPr>
          <w:sz w:val="20"/>
          <w:szCs w:val="20"/>
        </w:rPr>
      </w:pPr>
      <w:r w:rsidRPr="003B75A8">
        <w:rPr>
          <w:sz w:val="20"/>
          <w:szCs w:val="20"/>
        </w:rPr>
        <w:t>•English reading Paper 1: combined reading prompt and answer booklet</w:t>
      </w:r>
    </w:p>
    <w:p w:rsidR="00585CAE" w:rsidRPr="003B75A8" w:rsidRDefault="00585CAE" w:rsidP="00585CAE">
      <w:pPr>
        <w:rPr>
          <w:sz w:val="20"/>
          <w:szCs w:val="20"/>
        </w:rPr>
      </w:pPr>
      <w:r w:rsidRPr="003B75A8">
        <w:rPr>
          <w:sz w:val="20"/>
          <w:szCs w:val="20"/>
        </w:rPr>
        <w:t>•English reading Paper 2: reading booklet and reading answer booklet</w:t>
      </w:r>
    </w:p>
    <w:p w:rsidR="00585CAE" w:rsidRPr="003B75A8" w:rsidRDefault="00585CAE" w:rsidP="00585CAE">
      <w:pPr>
        <w:rPr>
          <w:sz w:val="20"/>
          <w:szCs w:val="20"/>
        </w:rPr>
      </w:pPr>
      <w:r w:rsidRPr="003B75A8">
        <w:rPr>
          <w:sz w:val="20"/>
          <w:szCs w:val="20"/>
        </w:rPr>
        <w:t>•English grammar, punctuation and spelling Paper 1: spelling</w:t>
      </w:r>
    </w:p>
    <w:p w:rsidR="00585CAE" w:rsidRPr="003B75A8" w:rsidRDefault="00585CAE" w:rsidP="00585CAE">
      <w:pPr>
        <w:rPr>
          <w:sz w:val="20"/>
          <w:szCs w:val="20"/>
        </w:rPr>
      </w:pPr>
      <w:r w:rsidRPr="003B75A8">
        <w:rPr>
          <w:sz w:val="20"/>
          <w:szCs w:val="20"/>
        </w:rPr>
        <w:t>•English grammar, punctuation and spelling Paper 2: questions</w:t>
      </w:r>
    </w:p>
    <w:p w:rsidR="00585CAE" w:rsidRPr="003B75A8" w:rsidRDefault="00585CAE" w:rsidP="00585CAE">
      <w:pPr>
        <w:rPr>
          <w:sz w:val="20"/>
          <w:szCs w:val="20"/>
        </w:rPr>
      </w:pPr>
      <w:r w:rsidRPr="003B75A8">
        <w:rPr>
          <w:sz w:val="20"/>
          <w:szCs w:val="20"/>
        </w:rPr>
        <w:t>•mathematics Paper 1: arithmetic</w:t>
      </w:r>
    </w:p>
    <w:p w:rsidR="00585CAE" w:rsidRPr="003B75A8" w:rsidRDefault="00585CAE" w:rsidP="00585CAE">
      <w:pPr>
        <w:rPr>
          <w:sz w:val="20"/>
          <w:szCs w:val="20"/>
        </w:rPr>
      </w:pPr>
      <w:r w:rsidRPr="003B75A8">
        <w:rPr>
          <w:sz w:val="20"/>
          <w:szCs w:val="20"/>
        </w:rPr>
        <w:t>•mathematics Paper 2: reasoning</w:t>
      </w:r>
    </w:p>
    <w:p w:rsidR="00585CAE" w:rsidRPr="003B75A8" w:rsidRDefault="00585CAE" w:rsidP="00585CAE">
      <w:pPr>
        <w:rPr>
          <w:sz w:val="20"/>
          <w:szCs w:val="20"/>
        </w:rPr>
      </w:pPr>
    </w:p>
    <w:p w:rsidR="00585CAE" w:rsidRPr="003B75A8" w:rsidRDefault="00585CAE" w:rsidP="00585CAE">
      <w:pPr>
        <w:rPr>
          <w:sz w:val="20"/>
          <w:szCs w:val="20"/>
        </w:rPr>
      </w:pPr>
      <w:r w:rsidRPr="003B75A8">
        <w:rPr>
          <w:sz w:val="20"/>
          <w:szCs w:val="20"/>
        </w:rPr>
        <w:lastRenderedPageBreak/>
        <w:t>There is no longer a test for English writing</w:t>
      </w:r>
      <w:r>
        <w:rPr>
          <w:sz w:val="20"/>
          <w:szCs w:val="20"/>
        </w:rPr>
        <w:t>. It is teacher assessed.</w:t>
      </w:r>
    </w:p>
    <w:p w:rsidR="00585CAE" w:rsidRDefault="00585CAE" w:rsidP="00585CAE">
      <w:pPr>
        <w:rPr>
          <w:b/>
          <w:sz w:val="20"/>
          <w:szCs w:val="20"/>
        </w:rPr>
      </w:pPr>
    </w:p>
    <w:p w:rsidR="00585CAE" w:rsidRPr="003B75A8" w:rsidRDefault="00585CAE" w:rsidP="00585CAE">
      <w:pPr>
        <w:rPr>
          <w:sz w:val="20"/>
          <w:szCs w:val="20"/>
        </w:rPr>
      </w:pPr>
      <w:r w:rsidRPr="003B75A8">
        <w:rPr>
          <w:sz w:val="20"/>
          <w:szCs w:val="20"/>
        </w:rPr>
        <w:t>Following the removal of teacher assessment levels, interim teacher assessment frameworks have been provided to support teachers in making robust and accurate judgements for pupils at the end of KS1 in 2016.</w:t>
      </w:r>
    </w:p>
    <w:p w:rsidR="00585CAE" w:rsidRDefault="00585CAE" w:rsidP="00585CAE">
      <w:pPr>
        <w:rPr>
          <w:b/>
          <w:sz w:val="20"/>
          <w:szCs w:val="20"/>
        </w:rPr>
      </w:pPr>
    </w:p>
    <w:p w:rsidR="00585CAE" w:rsidRPr="003B75A8" w:rsidRDefault="00585CAE" w:rsidP="00585CAE">
      <w:pPr>
        <w:rPr>
          <w:sz w:val="20"/>
          <w:szCs w:val="20"/>
        </w:rPr>
      </w:pPr>
      <w:r w:rsidRPr="003B75A8">
        <w:rPr>
          <w:sz w:val="20"/>
          <w:szCs w:val="20"/>
        </w:rPr>
        <w:t xml:space="preserve">Children are now assessed against end of key stage objectives stating whether they are working towards, working at or working at greater depth within the expected standard. </w:t>
      </w:r>
    </w:p>
    <w:p w:rsidR="00585CAE" w:rsidRPr="003B75A8" w:rsidRDefault="00585CAE" w:rsidP="00585CAE">
      <w:pPr>
        <w:rPr>
          <w:sz w:val="20"/>
          <w:szCs w:val="20"/>
        </w:rPr>
      </w:pPr>
    </w:p>
    <w:p w:rsidR="00585CAE" w:rsidRPr="003B75A8" w:rsidRDefault="00585CAE" w:rsidP="00585CAE">
      <w:pPr>
        <w:rPr>
          <w:sz w:val="20"/>
          <w:szCs w:val="20"/>
        </w:rPr>
      </w:pPr>
      <w:r w:rsidRPr="003B75A8">
        <w:rPr>
          <w:sz w:val="20"/>
          <w:szCs w:val="20"/>
        </w:rPr>
        <w:t xml:space="preserve">As this is the first year there is no historical data available. </w:t>
      </w:r>
    </w:p>
    <w:p w:rsidR="00585CAE" w:rsidRPr="001F6821" w:rsidRDefault="00585CAE" w:rsidP="00585CAE">
      <w:pPr>
        <w:rPr>
          <w:b/>
          <w:sz w:val="20"/>
          <w:szCs w:val="20"/>
        </w:rPr>
      </w:pPr>
    </w:p>
    <w:p w:rsidR="00585CAE" w:rsidRPr="00792E1B" w:rsidRDefault="00585CAE" w:rsidP="00585CAE">
      <w:pPr>
        <w:rPr>
          <w:sz w:val="20"/>
          <w:szCs w:val="20"/>
        </w:rPr>
      </w:pPr>
      <w:r w:rsidRPr="00792E1B">
        <w:rPr>
          <w:sz w:val="20"/>
          <w:szCs w:val="20"/>
        </w:rPr>
        <w:t xml:space="preserve">KS1 tests are taken throughout May. Children will sit the test in groups or even as a whole class. Children may not even know they are taking the tests. They are marked internally and teacher assessment is recorded and submitted to the Department for Education, </w:t>
      </w:r>
      <w:proofErr w:type="spellStart"/>
      <w:r w:rsidRPr="00792E1B">
        <w:rPr>
          <w:sz w:val="20"/>
          <w:szCs w:val="20"/>
        </w:rPr>
        <w:t>DfE</w:t>
      </w:r>
      <w:proofErr w:type="spellEnd"/>
      <w:r w:rsidRPr="00792E1B">
        <w:rPr>
          <w:sz w:val="20"/>
          <w:szCs w:val="20"/>
        </w:rPr>
        <w:t>.</w:t>
      </w:r>
    </w:p>
    <w:p w:rsidR="00585CAE" w:rsidRPr="00792E1B" w:rsidRDefault="00585CAE" w:rsidP="00585CAE">
      <w:pPr>
        <w:rPr>
          <w:sz w:val="20"/>
          <w:szCs w:val="20"/>
          <w:highlight w:val="yellow"/>
        </w:rPr>
      </w:pPr>
    </w:p>
    <w:p w:rsidR="00585CAE" w:rsidRPr="00792E1B" w:rsidRDefault="00585CAE" w:rsidP="00585CAE">
      <w:pPr>
        <w:jc w:val="center"/>
        <w:rPr>
          <w:b/>
          <w:sz w:val="20"/>
          <w:szCs w:val="20"/>
        </w:rPr>
      </w:pPr>
      <w:r w:rsidRPr="00792E1B">
        <w:rPr>
          <w:b/>
          <w:sz w:val="20"/>
          <w:szCs w:val="20"/>
        </w:rPr>
        <w:t>Reading</w:t>
      </w:r>
    </w:p>
    <w:p w:rsidR="00585CAE" w:rsidRPr="00792E1B" w:rsidRDefault="005B7EC1" w:rsidP="00585CAE">
      <w:pPr>
        <w:rPr>
          <w:b/>
          <w:sz w:val="20"/>
          <w:szCs w:val="20"/>
        </w:rPr>
      </w:pPr>
      <w:r>
        <w:rPr>
          <w:sz w:val="20"/>
          <w:szCs w:val="20"/>
        </w:rPr>
        <w:t xml:space="preserve">Working at or above the expected standard: </w:t>
      </w:r>
      <w:r w:rsidR="00585CAE" w:rsidRPr="00792E1B">
        <w:rPr>
          <w:sz w:val="20"/>
          <w:szCs w:val="20"/>
        </w:rPr>
        <w:t>National 74%</w:t>
      </w:r>
      <w:r>
        <w:rPr>
          <w:sz w:val="20"/>
          <w:szCs w:val="20"/>
        </w:rPr>
        <w:t xml:space="preserve"> </w:t>
      </w:r>
      <w:proofErr w:type="spellStart"/>
      <w:r w:rsidRPr="005B7EC1">
        <w:rPr>
          <w:b/>
          <w:sz w:val="20"/>
          <w:szCs w:val="20"/>
        </w:rPr>
        <w:t>Tushill</w:t>
      </w:r>
      <w:proofErr w:type="spellEnd"/>
      <w:r w:rsidRPr="005B7EC1">
        <w:rPr>
          <w:b/>
          <w:sz w:val="20"/>
          <w:szCs w:val="20"/>
        </w:rPr>
        <w:t xml:space="preserve"> </w:t>
      </w:r>
      <w:r w:rsidR="00585CAE" w:rsidRPr="005B7EC1">
        <w:rPr>
          <w:b/>
          <w:sz w:val="20"/>
          <w:szCs w:val="20"/>
        </w:rPr>
        <w:t>School 87%</w:t>
      </w:r>
      <w:r w:rsidR="00585CAE" w:rsidRPr="00792E1B">
        <w:rPr>
          <w:sz w:val="20"/>
          <w:szCs w:val="20"/>
        </w:rPr>
        <w:t xml:space="preserve"> </w:t>
      </w:r>
    </w:p>
    <w:p w:rsidR="00585CAE" w:rsidRPr="00792E1B" w:rsidRDefault="00585CAE" w:rsidP="00585CAE">
      <w:pPr>
        <w:rPr>
          <w:sz w:val="20"/>
          <w:szCs w:val="20"/>
        </w:rPr>
      </w:pPr>
    </w:p>
    <w:tbl>
      <w:tblPr>
        <w:tblStyle w:val="TableGrid"/>
        <w:tblW w:w="13876" w:type="dxa"/>
        <w:tblLook w:val="04A0" w:firstRow="1" w:lastRow="0" w:firstColumn="1" w:lastColumn="0" w:noHBand="0" w:noVBand="1"/>
      </w:tblPr>
      <w:tblGrid>
        <w:gridCol w:w="1267"/>
        <w:gridCol w:w="1358"/>
        <w:gridCol w:w="1446"/>
        <w:gridCol w:w="1325"/>
        <w:gridCol w:w="1439"/>
        <w:gridCol w:w="1446"/>
        <w:gridCol w:w="1325"/>
        <w:gridCol w:w="1499"/>
        <w:gridCol w:w="1446"/>
        <w:gridCol w:w="1325"/>
      </w:tblGrid>
      <w:tr w:rsidR="00585CAE" w:rsidRPr="00792E1B" w:rsidTr="00585CAE">
        <w:trPr>
          <w:trHeight w:val="947"/>
        </w:trPr>
        <w:tc>
          <w:tcPr>
            <w:tcW w:w="1267" w:type="dxa"/>
            <w:shd w:val="clear" w:color="auto" w:fill="auto"/>
          </w:tcPr>
          <w:p w:rsidR="00585CAE" w:rsidRPr="00792E1B" w:rsidRDefault="00585CAE" w:rsidP="009B1DC1">
            <w:pPr>
              <w:rPr>
                <w:b/>
                <w:sz w:val="20"/>
                <w:szCs w:val="20"/>
              </w:rPr>
            </w:pPr>
            <w:r w:rsidRPr="00792E1B">
              <w:rPr>
                <w:b/>
                <w:sz w:val="20"/>
                <w:szCs w:val="20"/>
              </w:rPr>
              <w:t>Reading</w:t>
            </w:r>
          </w:p>
        </w:tc>
        <w:tc>
          <w:tcPr>
            <w:tcW w:w="1358" w:type="dxa"/>
            <w:shd w:val="clear" w:color="auto" w:fill="C6D9F1" w:themeFill="text2" w:themeFillTint="33"/>
          </w:tcPr>
          <w:p w:rsidR="00585CAE" w:rsidRPr="00792E1B" w:rsidRDefault="00585CAE" w:rsidP="009B1DC1">
            <w:pPr>
              <w:rPr>
                <w:b/>
                <w:sz w:val="20"/>
                <w:szCs w:val="20"/>
              </w:rPr>
            </w:pPr>
            <w:r w:rsidRPr="00792E1B">
              <w:rPr>
                <w:b/>
                <w:sz w:val="20"/>
                <w:szCs w:val="20"/>
              </w:rPr>
              <w:t>Working towards, WTS</w:t>
            </w:r>
          </w:p>
        </w:tc>
        <w:tc>
          <w:tcPr>
            <w:tcW w:w="1446" w:type="dxa"/>
            <w:shd w:val="clear" w:color="auto" w:fill="auto"/>
          </w:tcPr>
          <w:p w:rsidR="00585CAE" w:rsidRPr="00792E1B" w:rsidRDefault="00585CAE" w:rsidP="009B1DC1">
            <w:pPr>
              <w:rPr>
                <w:b/>
                <w:sz w:val="20"/>
                <w:szCs w:val="20"/>
              </w:rPr>
            </w:pPr>
            <w:r>
              <w:rPr>
                <w:b/>
                <w:sz w:val="20"/>
                <w:szCs w:val="20"/>
              </w:rPr>
              <w:t>Local Authority</w:t>
            </w:r>
          </w:p>
        </w:tc>
        <w:tc>
          <w:tcPr>
            <w:tcW w:w="1325" w:type="dxa"/>
          </w:tcPr>
          <w:p w:rsidR="00585CAE" w:rsidRPr="00792E1B" w:rsidRDefault="00585CAE" w:rsidP="009B1DC1">
            <w:pPr>
              <w:rPr>
                <w:b/>
                <w:sz w:val="20"/>
                <w:szCs w:val="20"/>
              </w:rPr>
            </w:pPr>
            <w:r w:rsidRPr="00792E1B">
              <w:rPr>
                <w:b/>
                <w:sz w:val="20"/>
                <w:szCs w:val="20"/>
              </w:rPr>
              <w:t>National</w:t>
            </w:r>
          </w:p>
        </w:tc>
        <w:tc>
          <w:tcPr>
            <w:tcW w:w="1439" w:type="dxa"/>
            <w:shd w:val="clear" w:color="auto" w:fill="C6D9F1" w:themeFill="text2" w:themeFillTint="33"/>
          </w:tcPr>
          <w:p w:rsidR="00585CAE" w:rsidRPr="00792E1B" w:rsidRDefault="00585CAE" w:rsidP="009B1DC1">
            <w:pPr>
              <w:rPr>
                <w:b/>
                <w:sz w:val="20"/>
                <w:szCs w:val="20"/>
              </w:rPr>
            </w:pPr>
            <w:r w:rsidRPr="00792E1B">
              <w:rPr>
                <w:b/>
                <w:sz w:val="20"/>
                <w:szCs w:val="20"/>
              </w:rPr>
              <w:t>Working at expected standard, EXS</w:t>
            </w:r>
          </w:p>
        </w:tc>
        <w:tc>
          <w:tcPr>
            <w:tcW w:w="1446" w:type="dxa"/>
            <w:shd w:val="clear" w:color="auto" w:fill="auto"/>
          </w:tcPr>
          <w:p w:rsidR="00585CAE" w:rsidRPr="00792E1B" w:rsidRDefault="00585CAE" w:rsidP="009B1DC1">
            <w:pPr>
              <w:rPr>
                <w:b/>
                <w:sz w:val="20"/>
                <w:szCs w:val="20"/>
              </w:rPr>
            </w:pPr>
            <w:r>
              <w:rPr>
                <w:b/>
                <w:sz w:val="20"/>
                <w:szCs w:val="20"/>
              </w:rPr>
              <w:t>Local Authority</w:t>
            </w:r>
          </w:p>
        </w:tc>
        <w:tc>
          <w:tcPr>
            <w:tcW w:w="1325" w:type="dxa"/>
          </w:tcPr>
          <w:p w:rsidR="00585CAE" w:rsidRPr="00792E1B" w:rsidRDefault="00585CAE" w:rsidP="009B1DC1">
            <w:pPr>
              <w:rPr>
                <w:b/>
                <w:sz w:val="20"/>
                <w:szCs w:val="20"/>
              </w:rPr>
            </w:pPr>
            <w:r w:rsidRPr="00792E1B">
              <w:rPr>
                <w:b/>
                <w:sz w:val="20"/>
                <w:szCs w:val="20"/>
              </w:rPr>
              <w:t>National</w:t>
            </w:r>
          </w:p>
        </w:tc>
        <w:tc>
          <w:tcPr>
            <w:tcW w:w="1499" w:type="dxa"/>
            <w:shd w:val="clear" w:color="auto" w:fill="C6D9F1" w:themeFill="text2" w:themeFillTint="33"/>
          </w:tcPr>
          <w:p w:rsidR="00585CAE" w:rsidRPr="00792E1B" w:rsidRDefault="00585CAE" w:rsidP="009B1DC1">
            <w:pPr>
              <w:rPr>
                <w:b/>
                <w:sz w:val="20"/>
                <w:szCs w:val="20"/>
              </w:rPr>
            </w:pPr>
            <w:r w:rsidRPr="00792E1B">
              <w:rPr>
                <w:b/>
                <w:sz w:val="20"/>
                <w:szCs w:val="20"/>
              </w:rPr>
              <w:t>Exceeding the expected standard, EXS +</w:t>
            </w:r>
          </w:p>
        </w:tc>
        <w:tc>
          <w:tcPr>
            <w:tcW w:w="1446" w:type="dxa"/>
            <w:shd w:val="clear" w:color="auto" w:fill="auto"/>
          </w:tcPr>
          <w:p w:rsidR="00585CAE" w:rsidRPr="00792E1B" w:rsidRDefault="00585CAE" w:rsidP="009B1DC1">
            <w:pPr>
              <w:rPr>
                <w:b/>
                <w:sz w:val="20"/>
                <w:szCs w:val="20"/>
              </w:rPr>
            </w:pPr>
            <w:r w:rsidRPr="00792E1B">
              <w:rPr>
                <w:b/>
                <w:sz w:val="20"/>
                <w:szCs w:val="20"/>
              </w:rPr>
              <w:t>LA</w:t>
            </w:r>
            <w:r>
              <w:rPr>
                <w:b/>
                <w:sz w:val="20"/>
                <w:szCs w:val="20"/>
              </w:rPr>
              <w:t xml:space="preserve"> Local Authority</w:t>
            </w:r>
          </w:p>
        </w:tc>
        <w:tc>
          <w:tcPr>
            <w:tcW w:w="1325" w:type="dxa"/>
          </w:tcPr>
          <w:p w:rsidR="00585CAE" w:rsidRPr="00792E1B" w:rsidRDefault="00585CAE" w:rsidP="009B1DC1">
            <w:pPr>
              <w:rPr>
                <w:b/>
                <w:sz w:val="20"/>
                <w:szCs w:val="20"/>
              </w:rPr>
            </w:pPr>
            <w:r w:rsidRPr="00792E1B">
              <w:rPr>
                <w:b/>
                <w:sz w:val="20"/>
                <w:szCs w:val="20"/>
              </w:rPr>
              <w:t>National</w:t>
            </w:r>
          </w:p>
        </w:tc>
      </w:tr>
      <w:tr w:rsidR="00585CAE" w:rsidRPr="00792E1B" w:rsidTr="00585CAE">
        <w:trPr>
          <w:trHeight w:val="526"/>
        </w:trPr>
        <w:tc>
          <w:tcPr>
            <w:tcW w:w="1267" w:type="dxa"/>
          </w:tcPr>
          <w:p w:rsidR="00585CAE" w:rsidRPr="00792E1B" w:rsidRDefault="00585CAE" w:rsidP="009B1DC1">
            <w:pPr>
              <w:rPr>
                <w:sz w:val="20"/>
                <w:szCs w:val="20"/>
              </w:rPr>
            </w:pPr>
            <w:r w:rsidRPr="00792E1B">
              <w:rPr>
                <w:sz w:val="20"/>
                <w:szCs w:val="20"/>
              </w:rPr>
              <w:t>%</w:t>
            </w:r>
          </w:p>
        </w:tc>
        <w:tc>
          <w:tcPr>
            <w:tcW w:w="1358" w:type="dxa"/>
            <w:shd w:val="clear" w:color="auto" w:fill="C6D9F1" w:themeFill="text2" w:themeFillTint="33"/>
          </w:tcPr>
          <w:p w:rsidR="00585CAE" w:rsidRPr="00792E1B" w:rsidRDefault="0033512B" w:rsidP="009B1DC1">
            <w:pPr>
              <w:rPr>
                <w:sz w:val="20"/>
                <w:szCs w:val="20"/>
              </w:rPr>
            </w:pPr>
            <w:r>
              <w:rPr>
                <w:sz w:val="20"/>
                <w:szCs w:val="20"/>
              </w:rPr>
              <w:t>13</w:t>
            </w:r>
          </w:p>
        </w:tc>
        <w:tc>
          <w:tcPr>
            <w:tcW w:w="1446" w:type="dxa"/>
          </w:tcPr>
          <w:p w:rsidR="00585CAE" w:rsidRPr="00792E1B" w:rsidRDefault="00585CAE" w:rsidP="009B1DC1">
            <w:pPr>
              <w:rPr>
                <w:sz w:val="20"/>
                <w:szCs w:val="20"/>
              </w:rPr>
            </w:pPr>
            <w:r w:rsidRPr="00792E1B">
              <w:rPr>
                <w:sz w:val="20"/>
                <w:szCs w:val="20"/>
              </w:rPr>
              <w:t>26.9</w:t>
            </w:r>
          </w:p>
        </w:tc>
        <w:tc>
          <w:tcPr>
            <w:tcW w:w="1325" w:type="dxa"/>
          </w:tcPr>
          <w:p w:rsidR="00585CAE" w:rsidRPr="00792E1B" w:rsidRDefault="00585CAE" w:rsidP="009B1DC1">
            <w:pPr>
              <w:rPr>
                <w:sz w:val="20"/>
                <w:szCs w:val="20"/>
              </w:rPr>
            </w:pPr>
            <w:r w:rsidRPr="00792E1B">
              <w:rPr>
                <w:sz w:val="20"/>
                <w:szCs w:val="20"/>
              </w:rPr>
              <w:t>19</w:t>
            </w:r>
          </w:p>
        </w:tc>
        <w:tc>
          <w:tcPr>
            <w:tcW w:w="1439" w:type="dxa"/>
            <w:shd w:val="clear" w:color="auto" w:fill="C6D9F1" w:themeFill="text2" w:themeFillTint="33"/>
          </w:tcPr>
          <w:p w:rsidR="00585CAE" w:rsidRPr="00792E1B" w:rsidRDefault="0033512B" w:rsidP="009B1DC1">
            <w:pPr>
              <w:rPr>
                <w:sz w:val="20"/>
                <w:szCs w:val="20"/>
              </w:rPr>
            </w:pPr>
            <w:r>
              <w:rPr>
                <w:sz w:val="20"/>
                <w:szCs w:val="20"/>
              </w:rPr>
              <w:t>40</w:t>
            </w:r>
          </w:p>
        </w:tc>
        <w:tc>
          <w:tcPr>
            <w:tcW w:w="1446" w:type="dxa"/>
          </w:tcPr>
          <w:p w:rsidR="00585CAE" w:rsidRPr="00792E1B" w:rsidRDefault="00585CAE" w:rsidP="009B1DC1">
            <w:pPr>
              <w:rPr>
                <w:sz w:val="20"/>
                <w:szCs w:val="20"/>
              </w:rPr>
            </w:pPr>
            <w:r w:rsidRPr="00792E1B">
              <w:rPr>
                <w:sz w:val="20"/>
                <w:szCs w:val="20"/>
              </w:rPr>
              <w:t>50.3</w:t>
            </w:r>
          </w:p>
        </w:tc>
        <w:tc>
          <w:tcPr>
            <w:tcW w:w="1325" w:type="dxa"/>
          </w:tcPr>
          <w:p w:rsidR="00585CAE" w:rsidRPr="00792E1B" w:rsidRDefault="00585CAE" w:rsidP="009B1DC1">
            <w:pPr>
              <w:rPr>
                <w:sz w:val="20"/>
                <w:szCs w:val="20"/>
              </w:rPr>
            </w:pPr>
            <w:r w:rsidRPr="00792E1B">
              <w:rPr>
                <w:sz w:val="20"/>
                <w:szCs w:val="20"/>
              </w:rPr>
              <w:t>50</w:t>
            </w:r>
          </w:p>
        </w:tc>
        <w:tc>
          <w:tcPr>
            <w:tcW w:w="1499" w:type="dxa"/>
            <w:shd w:val="clear" w:color="auto" w:fill="C6D9F1" w:themeFill="text2" w:themeFillTint="33"/>
          </w:tcPr>
          <w:p w:rsidR="00585CAE" w:rsidRPr="00792E1B" w:rsidRDefault="0033512B" w:rsidP="009B1DC1">
            <w:pPr>
              <w:rPr>
                <w:sz w:val="20"/>
                <w:szCs w:val="20"/>
              </w:rPr>
            </w:pPr>
            <w:r>
              <w:rPr>
                <w:sz w:val="20"/>
                <w:szCs w:val="20"/>
              </w:rPr>
              <w:t>47</w:t>
            </w:r>
          </w:p>
        </w:tc>
        <w:tc>
          <w:tcPr>
            <w:tcW w:w="1446" w:type="dxa"/>
          </w:tcPr>
          <w:p w:rsidR="00585CAE" w:rsidRPr="00792E1B" w:rsidRDefault="00585CAE" w:rsidP="009B1DC1">
            <w:pPr>
              <w:rPr>
                <w:sz w:val="20"/>
                <w:szCs w:val="20"/>
              </w:rPr>
            </w:pPr>
            <w:r w:rsidRPr="00792E1B">
              <w:rPr>
                <w:sz w:val="20"/>
                <w:szCs w:val="20"/>
              </w:rPr>
              <w:t>22.8</w:t>
            </w:r>
          </w:p>
        </w:tc>
        <w:tc>
          <w:tcPr>
            <w:tcW w:w="1325" w:type="dxa"/>
          </w:tcPr>
          <w:p w:rsidR="00585CAE" w:rsidRPr="00792E1B" w:rsidRDefault="00585CAE" w:rsidP="009B1DC1">
            <w:pPr>
              <w:rPr>
                <w:sz w:val="20"/>
                <w:szCs w:val="20"/>
              </w:rPr>
            </w:pPr>
            <w:r w:rsidRPr="00792E1B">
              <w:rPr>
                <w:sz w:val="20"/>
                <w:szCs w:val="20"/>
              </w:rPr>
              <w:t>24</w:t>
            </w:r>
          </w:p>
        </w:tc>
      </w:tr>
    </w:tbl>
    <w:p w:rsidR="00585CAE" w:rsidRPr="00792E1B" w:rsidRDefault="00585CAE" w:rsidP="00585CAE">
      <w:pPr>
        <w:rPr>
          <w:sz w:val="20"/>
          <w:szCs w:val="20"/>
        </w:rPr>
      </w:pPr>
    </w:p>
    <w:p w:rsidR="00585CAE" w:rsidRPr="00E0690A" w:rsidRDefault="005B7EC1" w:rsidP="00585CAE">
      <w:pPr>
        <w:jc w:val="center"/>
        <w:rPr>
          <w:b/>
          <w:sz w:val="20"/>
          <w:szCs w:val="20"/>
          <w:highlight w:val="yellow"/>
        </w:rPr>
      </w:pPr>
      <w:r>
        <w:rPr>
          <w:b/>
          <w:sz w:val="20"/>
          <w:szCs w:val="20"/>
        </w:rPr>
        <w:t>W</w:t>
      </w:r>
      <w:r w:rsidR="00585CAE" w:rsidRPr="00792E1B">
        <w:rPr>
          <w:b/>
          <w:sz w:val="20"/>
          <w:szCs w:val="20"/>
        </w:rPr>
        <w:t>riting</w:t>
      </w:r>
    </w:p>
    <w:p w:rsidR="00585CAE" w:rsidRPr="00792E1B" w:rsidRDefault="00585CAE" w:rsidP="00585CAE">
      <w:pPr>
        <w:rPr>
          <w:b/>
          <w:sz w:val="20"/>
          <w:szCs w:val="20"/>
        </w:rPr>
      </w:pPr>
    </w:p>
    <w:p w:rsidR="005B7EC1" w:rsidRPr="005B7EC1" w:rsidRDefault="005B7EC1" w:rsidP="00585CAE">
      <w:pPr>
        <w:rPr>
          <w:b/>
          <w:sz w:val="20"/>
          <w:szCs w:val="20"/>
        </w:rPr>
      </w:pPr>
      <w:r>
        <w:rPr>
          <w:sz w:val="20"/>
          <w:szCs w:val="20"/>
        </w:rPr>
        <w:t xml:space="preserve">Working at or above the expected standard: </w:t>
      </w:r>
      <w:r w:rsidR="00585CAE">
        <w:rPr>
          <w:sz w:val="20"/>
          <w:szCs w:val="20"/>
        </w:rPr>
        <w:t xml:space="preserve">National 65% </w:t>
      </w:r>
      <w:proofErr w:type="spellStart"/>
      <w:r w:rsidRPr="005B7EC1">
        <w:rPr>
          <w:b/>
          <w:sz w:val="20"/>
          <w:szCs w:val="20"/>
        </w:rPr>
        <w:t>Tutshill</w:t>
      </w:r>
      <w:proofErr w:type="spellEnd"/>
      <w:r w:rsidRPr="005B7EC1">
        <w:rPr>
          <w:b/>
          <w:sz w:val="20"/>
          <w:szCs w:val="20"/>
        </w:rPr>
        <w:t xml:space="preserve"> </w:t>
      </w:r>
      <w:r w:rsidR="00585CAE" w:rsidRPr="005B7EC1">
        <w:rPr>
          <w:b/>
          <w:sz w:val="20"/>
          <w:szCs w:val="20"/>
        </w:rPr>
        <w:t>School 56%</w:t>
      </w:r>
      <w:r w:rsidR="00585CAE" w:rsidRPr="00792E1B">
        <w:rPr>
          <w:sz w:val="20"/>
          <w:szCs w:val="20"/>
        </w:rPr>
        <w:t xml:space="preserve"> </w:t>
      </w:r>
    </w:p>
    <w:p w:rsidR="00585CAE" w:rsidRPr="00792E1B" w:rsidRDefault="00585CAE" w:rsidP="00585CAE">
      <w:pPr>
        <w:rPr>
          <w:b/>
          <w:sz w:val="20"/>
          <w:szCs w:val="20"/>
        </w:rPr>
      </w:pPr>
    </w:p>
    <w:tbl>
      <w:tblPr>
        <w:tblStyle w:val="TableGrid"/>
        <w:tblW w:w="13915" w:type="dxa"/>
        <w:tblLook w:val="04A0" w:firstRow="1" w:lastRow="0" w:firstColumn="1" w:lastColumn="0" w:noHBand="0" w:noVBand="1"/>
      </w:tblPr>
      <w:tblGrid>
        <w:gridCol w:w="1207"/>
        <w:gridCol w:w="1368"/>
        <w:gridCol w:w="1458"/>
        <w:gridCol w:w="1335"/>
        <w:gridCol w:w="1450"/>
        <w:gridCol w:w="1458"/>
        <w:gridCol w:w="1335"/>
        <w:gridCol w:w="1511"/>
        <w:gridCol w:w="1458"/>
        <w:gridCol w:w="1335"/>
      </w:tblGrid>
      <w:tr w:rsidR="00585CAE" w:rsidRPr="00792E1B" w:rsidTr="00585CAE">
        <w:trPr>
          <w:trHeight w:val="1137"/>
        </w:trPr>
        <w:tc>
          <w:tcPr>
            <w:tcW w:w="1207" w:type="dxa"/>
            <w:shd w:val="clear" w:color="auto" w:fill="auto"/>
          </w:tcPr>
          <w:p w:rsidR="00585CAE" w:rsidRPr="00792E1B" w:rsidRDefault="00585CAE" w:rsidP="009B1DC1">
            <w:pPr>
              <w:jc w:val="center"/>
              <w:rPr>
                <w:b/>
                <w:sz w:val="20"/>
                <w:szCs w:val="20"/>
              </w:rPr>
            </w:pPr>
            <w:r w:rsidRPr="00792E1B">
              <w:rPr>
                <w:b/>
                <w:sz w:val="20"/>
                <w:szCs w:val="20"/>
              </w:rPr>
              <w:t>Writing</w:t>
            </w:r>
          </w:p>
        </w:tc>
        <w:tc>
          <w:tcPr>
            <w:tcW w:w="1368" w:type="dxa"/>
            <w:shd w:val="clear" w:color="auto" w:fill="C6D9F1" w:themeFill="text2" w:themeFillTint="33"/>
          </w:tcPr>
          <w:p w:rsidR="00585CAE" w:rsidRPr="00792E1B" w:rsidRDefault="00585CAE" w:rsidP="009B1DC1">
            <w:pPr>
              <w:jc w:val="center"/>
              <w:rPr>
                <w:b/>
                <w:sz w:val="20"/>
                <w:szCs w:val="20"/>
              </w:rPr>
            </w:pPr>
            <w:r w:rsidRPr="00792E1B">
              <w:rPr>
                <w:b/>
                <w:sz w:val="20"/>
                <w:szCs w:val="20"/>
              </w:rPr>
              <w:t>Working towards, WTS</w:t>
            </w:r>
          </w:p>
        </w:tc>
        <w:tc>
          <w:tcPr>
            <w:tcW w:w="1458" w:type="dxa"/>
            <w:shd w:val="clear" w:color="auto" w:fill="auto"/>
          </w:tcPr>
          <w:p w:rsidR="00585CAE" w:rsidRPr="00792E1B" w:rsidRDefault="00585CAE" w:rsidP="009B1DC1">
            <w:pPr>
              <w:jc w:val="center"/>
              <w:rPr>
                <w:b/>
                <w:sz w:val="20"/>
                <w:szCs w:val="20"/>
              </w:rPr>
            </w:pPr>
            <w:r>
              <w:rPr>
                <w:b/>
                <w:sz w:val="20"/>
                <w:szCs w:val="20"/>
              </w:rPr>
              <w:t>Local Authority</w:t>
            </w:r>
          </w:p>
        </w:tc>
        <w:tc>
          <w:tcPr>
            <w:tcW w:w="1335" w:type="dxa"/>
          </w:tcPr>
          <w:p w:rsidR="00585CAE" w:rsidRPr="00792E1B" w:rsidRDefault="00585CAE" w:rsidP="009B1DC1">
            <w:pPr>
              <w:jc w:val="center"/>
              <w:rPr>
                <w:b/>
                <w:sz w:val="20"/>
                <w:szCs w:val="20"/>
              </w:rPr>
            </w:pPr>
            <w:r w:rsidRPr="00792E1B">
              <w:rPr>
                <w:b/>
                <w:sz w:val="20"/>
                <w:szCs w:val="20"/>
              </w:rPr>
              <w:t>National</w:t>
            </w:r>
          </w:p>
        </w:tc>
        <w:tc>
          <w:tcPr>
            <w:tcW w:w="1450" w:type="dxa"/>
            <w:shd w:val="clear" w:color="auto" w:fill="C6D9F1" w:themeFill="text2" w:themeFillTint="33"/>
          </w:tcPr>
          <w:p w:rsidR="00585CAE" w:rsidRPr="00792E1B" w:rsidRDefault="00585CAE" w:rsidP="009B1DC1">
            <w:pPr>
              <w:jc w:val="center"/>
              <w:rPr>
                <w:b/>
                <w:sz w:val="20"/>
                <w:szCs w:val="20"/>
              </w:rPr>
            </w:pPr>
            <w:r w:rsidRPr="00792E1B">
              <w:rPr>
                <w:b/>
                <w:sz w:val="20"/>
                <w:szCs w:val="20"/>
              </w:rPr>
              <w:t>Working at expected standard, EXS</w:t>
            </w:r>
          </w:p>
        </w:tc>
        <w:tc>
          <w:tcPr>
            <w:tcW w:w="1458" w:type="dxa"/>
            <w:shd w:val="clear" w:color="auto" w:fill="auto"/>
          </w:tcPr>
          <w:p w:rsidR="00585CAE" w:rsidRPr="00792E1B" w:rsidRDefault="00585CAE" w:rsidP="009B1DC1">
            <w:pPr>
              <w:jc w:val="center"/>
              <w:rPr>
                <w:b/>
                <w:sz w:val="20"/>
                <w:szCs w:val="20"/>
              </w:rPr>
            </w:pPr>
            <w:r>
              <w:rPr>
                <w:b/>
                <w:sz w:val="20"/>
                <w:szCs w:val="20"/>
              </w:rPr>
              <w:t>Local Authority</w:t>
            </w:r>
          </w:p>
        </w:tc>
        <w:tc>
          <w:tcPr>
            <w:tcW w:w="1335" w:type="dxa"/>
          </w:tcPr>
          <w:p w:rsidR="00585CAE" w:rsidRPr="00792E1B" w:rsidRDefault="00585CAE" w:rsidP="009B1DC1">
            <w:pPr>
              <w:jc w:val="center"/>
              <w:rPr>
                <w:b/>
                <w:sz w:val="20"/>
                <w:szCs w:val="20"/>
              </w:rPr>
            </w:pPr>
            <w:r w:rsidRPr="00792E1B">
              <w:rPr>
                <w:b/>
                <w:sz w:val="20"/>
                <w:szCs w:val="20"/>
              </w:rPr>
              <w:t>National</w:t>
            </w:r>
          </w:p>
        </w:tc>
        <w:tc>
          <w:tcPr>
            <w:tcW w:w="1511" w:type="dxa"/>
            <w:shd w:val="clear" w:color="auto" w:fill="C6D9F1" w:themeFill="text2" w:themeFillTint="33"/>
          </w:tcPr>
          <w:p w:rsidR="00585CAE" w:rsidRPr="00792E1B" w:rsidRDefault="00585CAE" w:rsidP="009B1DC1">
            <w:pPr>
              <w:jc w:val="center"/>
              <w:rPr>
                <w:b/>
                <w:sz w:val="20"/>
                <w:szCs w:val="20"/>
              </w:rPr>
            </w:pPr>
            <w:r w:rsidRPr="00792E1B">
              <w:rPr>
                <w:b/>
                <w:sz w:val="20"/>
                <w:szCs w:val="20"/>
              </w:rPr>
              <w:t>Exceeding the expected standard, EXS +</w:t>
            </w:r>
          </w:p>
        </w:tc>
        <w:tc>
          <w:tcPr>
            <w:tcW w:w="1458" w:type="dxa"/>
            <w:shd w:val="clear" w:color="auto" w:fill="auto"/>
          </w:tcPr>
          <w:p w:rsidR="00585CAE" w:rsidRPr="00792E1B" w:rsidRDefault="00585CAE" w:rsidP="009B1DC1">
            <w:pPr>
              <w:jc w:val="center"/>
              <w:rPr>
                <w:b/>
                <w:sz w:val="20"/>
                <w:szCs w:val="20"/>
              </w:rPr>
            </w:pPr>
            <w:r>
              <w:rPr>
                <w:b/>
                <w:sz w:val="20"/>
                <w:szCs w:val="20"/>
              </w:rPr>
              <w:t>Local Authority</w:t>
            </w:r>
          </w:p>
        </w:tc>
        <w:tc>
          <w:tcPr>
            <w:tcW w:w="1335" w:type="dxa"/>
          </w:tcPr>
          <w:p w:rsidR="00585CAE" w:rsidRPr="00792E1B" w:rsidRDefault="00585CAE" w:rsidP="009B1DC1">
            <w:pPr>
              <w:jc w:val="center"/>
              <w:rPr>
                <w:b/>
                <w:sz w:val="20"/>
                <w:szCs w:val="20"/>
              </w:rPr>
            </w:pPr>
            <w:r w:rsidRPr="00792E1B">
              <w:rPr>
                <w:b/>
                <w:sz w:val="20"/>
                <w:szCs w:val="20"/>
              </w:rPr>
              <w:t>National</w:t>
            </w:r>
          </w:p>
        </w:tc>
      </w:tr>
      <w:tr w:rsidR="00585CAE" w:rsidRPr="00792E1B" w:rsidTr="00585CAE">
        <w:trPr>
          <w:trHeight w:val="612"/>
        </w:trPr>
        <w:tc>
          <w:tcPr>
            <w:tcW w:w="1207" w:type="dxa"/>
            <w:shd w:val="clear" w:color="auto" w:fill="auto"/>
          </w:tcPr>
          <w:p w:rsidR="00585CAE" w:rsidRPr="00792E1B" w:rsidRDefault="00585CAE" w:rsidP="009B1DC1">
            <w:pPr>
              <w:jc w:val="center"/>
              <w:rPr>
                <w:sz w:val="20"/>
                <w:szCs w:val="20"/>
              </w:rPr>
            </w:pPr>
            <w:r w:rsidRPr="00792E1B">
              <w:rPr>
                <w:sz w:val="20"/>
                <w:szCs w:val="20"/>
              </w:rPr>
              <w:t>%</w:t>
            </w:r>
          </w:p>
        </w:tc>
        <w:tc>
          <w:tcPr>
            <w:tcW w:w="1368" w:type="dxa"/>
            <w:shd w:val="clear" w:color="auto" w:fill="C6D9F1" w:themeFill="text2" w:themeFillTint="33"/>
          </w:tcPr>
          <w:p w:rsidR="00585CAE" w:rsidRPr="00792E1B" w:rsidRDefault="0033512B" w:rsidP="009B1DC1">
            <w:pPr>
              <w:jc w:val="center"/>
              <w:rPr>
                <w:sz w:val="20"/>
                <w:szCs w:val="20"/>
              </w:rPr>
            </w:pPr>
            <w:r>
              <w:rPr>
                <w:sz w:val="20"/>
                <w:szCs w:val="20"/>
              </w:rPr>
              <w:t>43</w:t>
            </w:r>
          </w:p>
        </w:tc>
        <w:tc>
          <w:tcPr>
            <w:tcW w:w="1458" w:type="dxa"/>
            <w:shd w:val="clear" w:color="auto" w:fill="auto"/>
          </w:tcPr>
          <w:p w:rsidR="00585CAE" w:rsidRPr="00792E1B" w:rsidRDefault="00585CAE" w:rsidP="009B1DC1">
            <w:pPr>
              <w:jc w:val="center"/>
              <w:rPr>
                <w:sz w:val="20"/>
                <w:szCs w:val="20"/>
              </w:rPr>
            </w:pPr>
            <w:r w:rsidRPr="00792E1B">
              <w:rPr>
                <w:sz w:val="20"/>
                <w:szCs w:val="20"/>
              </w:rPr>
              <w:t>3</w:t>
            </w:r>
          </w:p>
        </w:tc>
        <w:tc>
          <w:tcPr>
            <w:tcW w:w="1335" w:type="dxa"/>
          </w:tcPr>
          <w:p w:rsidR="00585CAE" w:rsidRPr="00792E1B" w:rsidRDefault="00585CAE" w:rsidP="009B1DC1">
            <w:pPr>
              <w:jc w:val="center"/>
              <w:rPr>
                <w:sz w:val="20"/>
                <w:szCs w:val="20"/>
              </w:rPr>
            </w:pPr>
            <w:r w:rsidRPr="00792E1B">
              <w:rPr>
                <w:sz w:val="20"/>
                <w:szCs w:val="20"/>
              </w:rPr>
              <w:t>27</w:t>
            </w:r>
          </w:p>
        </w:tc>
        <w:tc>
          <w:tcPr>
            <w:tcW w:w="1450" w:type="dxa"/>
            <w:shd w:val="clear" w:color="auto" w:fill="C6D9F1" w:themeFill="text2" w:themeFillTint="33"/>
          </w:tcPr>
          <w:p w:rsidR="00585CAE" w:rsidRPr="00792E1B" w:rsidRDefault="00585CAE" w:rsidP="009B1DC1">
            <w:pPr>
              <w:jc w:val="center"/>
              <w:rPr>
                <w:sz w:val="20"/>
                <w:szCs w:val="20"/>
              </w:rPr>
            </w:pPr>
            <w:r w:rsidRPr="00792E1B">
              <w:rPr>
                <w:sz w:val="20"/>
                <w:szCs w:val="20"/>
              </w:rPr>
              <w:t>46</w:t>
            </w:r>
          </w:p>
        </w:tc>
        <w:tc>
          <w:tcPr>
            <w:tcW w:w="1458" w:type="dxa"/>
            <w:shd w:val="clear" w:color="auto" w:fill="auto"/>
          </w:tcPr>
          <w:p w:rsidR="00585CAE" w:rsidRPr="00792E1B" w:rsidRDefault="00585CAE" w:rsidP="009B1DC1">
            <w:pPr>
              <w:jc w:val="center"/>
              <w:rPr>
                <w:sz w:val="20"/>
                <w:szCs w:val="20"/>
              </w:rPr>
            </w:pPr>
            <w:r w:rsidRPr="00792E1B">
              <w:rPr>
                <w:sz w:val="20"/>
                <w:szCs w:val="20"/>
              </w:rPr>
              <w:t>50</w:t>
            </w:r>
          </w:p>
        </w:tc>
        <w:tc>
          <w:tcPr>
            <w:tcW w:w="1335" w:type="dxa"/>
          </w:tcPr>
          <w:p w:rsidR="00585CAE" w:rsidRPr="00792E1B" w:rsidRDefault="00585CAE" w:rsidP="009B1DC1">
            <w:pPr>
              <w:jc w:val="center"/>
              <w:rPr>
                <w:sz w:val="20"/>
                <w:szCs w:val="20"/>
              </w:rPr>
            </w:pPr>
            <w:r w:rsidRPr="00792E1B">
              <w:rPr>
                <w:sz w:val="20"/>
                <w:szCs w:val="20"/>
              </w:rPr>
              <w:t>52</w:t>
            </w:r>
          </w:p>
        </w:tc>
        <w:tc>
          <w:tcPr>
            <w:tcW w:w="1511" w:type="dxa"/>
            <w:shd w:val="clear" w:color="auto" w:fill="C6D9F1" w:themeFill="text2" w:themeFillTint="33"/>
          </w:tcPr>
          <w:p w:rsidR="00585CAE" w:rsidRPr="00792E1B" w:rsidRDefault="00585CAE" w:rsidP="009B1DC1">
            <w:pPr>
              <w:jc w:val="center"/>
              <w:rPr>
                <w:sz w:val="20"/>
                <w:szCs w:val="20"/>
              </w:rPr>
            </w:pPr>
            <w:r w:rsidRPr="00792E1B">
              <w:rPr>
                <w:sz w:val="20"/>
                <w:szCs w:val="20"/>
              </w:rPr>
              <w:t>10</w:t>
            </w:r>
          </w:p>
        </w:tc>
        <w:tc>
          <w:tcPr>
            <w:tcW w:w="1458" w:type="dxa"/>
            <w:shd w:val="clear" w:color="auto" w:fill="auto"/>
          </w:tcPr>
          <w:p w:rsidR="00585CAE" w:rsidRPr="00792E1B" w:rsidRDefault="00585CAE" w:rsidP="009B1DC1">
            <w:pPr>
              <w:jc w:val="center"/>
              <w:rPr>
                <w:sz w:val="20"/>
                <w:szCs w:val="20"/>
              </w:rPr>
            </w:pPr>
            <w:r w:rsidRPr="00792E1B">
              <w:rPr>
                <w:sz w:val="20"/>
                <w:szCs w:val="20"/>
              </w:rPr>
              <w:t>12</w:t>
            </w:r>
          </w:p>
        </w:tc>
        <w:tc>
          <w:tcPr>
            <w:tcW w:w="1335" w:type="dxa"/>
          </w:tcPr>
          <w:p w:rsidR="00585CAE" w:rsidRPr="00792E1B" w:rsidRDefault="00585CAE" w:rsidP="009B1DC1">
            <w:pPr>
              <w:jc w:val="center"/>
              <w:rPr>
                <w:sz w:val="20"/>
                <w:szCs w:val="20"/>
              </w:rPr>
            </w:pPr>
            <w:r w:rsidRPr="00792E1B">
              <w:rPr>
                <w:sz w:val="20"/>
                <w:szCs w:val="20"/>
              </w:rPr>
              <w:t>13</w:t>
            </w:r>
          </w:p>
        </w:tc>
      </w:tr>
    </w:tbl>
    <w:p w:rsidR="00585CAE" w:rsidRDefault="00585CAE" w:rsidP="00585CAE">
      <w:pPr>
        <w:rPr>
          <w:b/>
          <w:sz w:val="20"/>
          <w:szCs w:val="20"/>
          <w:highlight w:val="yellow"/>
        </w:rPr>
      </w:pPr>
    </w:p>
    <w:p w:rsidR="005B7EC1" w:rsidRDefault="005B7EC1" w:rsidP="00585CAE">
      <w:pPr>
        <w:rPr>
          <w:b/>
          <w:sz w:val="20"/>
          <w:szCs w:val="20"/>
          <w:highlight w:val="yellow"/>
        </w:rPr>
      </w:pPr>
    </w:p>
    <w:p w:rsidR="005B7EC1" w:rsidRDefault="005B7EC1" w:rsidP="00585CAE">
      <w:pPr>
        <w:rPr>
          <w:b/>
          <w:sz w:val="20"/>
          <w:szCs w:val="20"/>
          <w:highlight w:val="yellow"/>
        </w:rPr>
      </w:pPr>
    </w:p>
    <w:p w:rsidR="005B7EC1" w:rsidRDefault="005B7EC1" w:rsidP="00585CAE">
      <w:pPr>
        <w:rPr>
          <w:b/>
          <w:sz w:val="20"/>
          <w:szCs w:val="20"/>
          <w:highlight w:val="yellow"/>
        </w:rPr>
      </w:pPr>
    </w:p>
    <w:p w:rsidR="005B7EC1" w:rsidRDefault="005B7EC1" w:rsidP="00585CAE">
      <w:pPr>
        <w:rPr>
          <w:b/>
          <w:sz w:val="20"/>
          <w:szCs w:val="20"/>
          <w:highlight w:val="yellow"/>
        </w:rPr>
      </w:pPr>
    </w:p>
    <w:p w:rsidR="005B7EC1" w:rsidRDefault="005B7EC1" w:rsidP="00585CAE">
      <w:pPr>
        <w:rPr>
          <w:b/>
          <w:sz w:val="20"/>
          <w:szCs w:val="20"/>
          <w:highlight w:val="yellow"/>
        </w:rPr>
      </w:pPr>
    </w:p>
    <w:p w:rsidR="005B7EC1" w:rsidRDefault="005B7EC1" w:rsidP="00585CAE">
      <w:pPr>
        <w:rPr>
          <w:b/>
          <w:sz w:val="20"/>
          <w:szCs w:val="20"/>
          <w:highlight w:val="yellow"/>
        </w:rPr>
      </w:pPr>
    </w:p>
    <w:p w:rsidR="005B7EC1" w:rsidRPr="00E0690A" w:rsidRDefault="005B7EC1" w:rsidP="00585CAE">
      <w:pPr>
        <w:rPr>
          <w:b/>
          <w:sz w:val="20"/>
          <w:szCs w:val="20"/>
          <w:highlight w:val="yellow"/>
        </w:rPr>
      </w:pPr>
    </w:p>
    <w:p w:rsidR="00585CAE" w:rsidRPr="00E0690A" w:rsidRDefault="00585CAE" w:rsidP="00585CAE">
      <w:pPr>
        <w:rPr>
          <w:b/>
          <w:sz w:val="20"/>
          <w:szCs w:val="20"/>
          <w:highlight w:val="yellow"/>
        </w:rPr>
      </w:pPr>
    </w:p>
    <w:p w:rsidR="00585CAE" w:rsidRPr="00792E1B" w:rsidRDefault="00585CAE" w:rsidP="00585CAE">
      <w:pPr>
        <w:jc w:val="center"/>
        <w:rPr>
          <w:b/>
          <w:sz w:val="20"/>
          <w:szCs w:val="20"/>
        </w:rPr>
      </w:pPr>
      <w:r w:rsidRPr="00792E1B">
        <w:rPr>
          <w:b/>
          <w:sz w:val="20"/>
          <w:szCs w:val="20"/>
        </w:rPr>
        <w:lastRenderedPageBreak/>
        <w:t>Maths</w:t>
      </w:r>
    </w:p>
    <w:p w:rsidR="00585CAE" w:rsidRPr="00792E1B" w:rsidRDefault="00585CAE" w:rsidP="00585CAE">
      <w:pPr>
        <w:rPr>
          <w:sz w:val="20"/>
          <w:szCs w:val="20"/>
        </w:rPr>
      </w:pPr>
    </w:p>
    <w:p w:rsidR="00585CAE" w:rsidRPr="005B7EC1" w:rsidRDefault="005B7EC1" w:rsidP="00585CAE">
      <w:pPr>
        <w:rPr>
          <w:b/>
          <w:sz w:val="20"/>
          <w:szCs w:val="20"/>
        </w:rPr>
      </w:pPr>
      <w:r>
        <w:rPr>
          <w:sz w:val="20"/>
          <w:szCs w:val="20"/>
        </w:rPr>
        <w:t xml:space="preserve">Working at or above the expected standard </w:t>
      </w:r>
      <w:r w:rsidR="00585CAE" w:rsidRPr="00792E1B">
        <w:rPr>
          <w:sz w:val="20"/>
          <w:szCs w:val="20"/>
        </w:rPr>
        <w:t>National 73%</w:t>
      </w:r>
      <w:r w:rsidR="00585CAE" w:rsidRPr="005B7EC1">
        <w:rPr>
          <w:b/>
          <w:sz w:val="20"/>
          <w:szCs w:val="20"/>
        </w:rPr>
        <w:t xml:space="preserve"> </w:t>
      </w:r>
      <w:proofErr w:type="spellStart"/>
      <w:r w:rsidRPr="005B7EC1">
        <w:rPr>
          <w:b/>
          <w:sz w:val="20"/>
          <w:szCs w:val="20"/>
        </w:rPr>
        <w:t>Tutshill</w:t>
      </w:r>
      <w:proofErr w:type="spellEnd"/>
      <w:r w:rsidRPr="005B7EC1">
        <w:rPr>
          <w:b/>
          <w:sz w:val="20"/>
          <w:szCs w:val="20"/>
        </w:rPr>
        <w:t xml:space="preserve"> School 87%</w:t>
      </w:r>
    </w:p>
    <w:p w:rsidR="00585CAE" w:rsidRPr="00792E1B" w:rsidRDefault="00585CAE" w:rsidP="00585CAE">
      <w:pPr>
        <w:rPr>
          <w:sz w:val="20"/>
          <w:szCs w:val="20"/>
        </w:rPr>
      </w:pPr>
    </w:p>
    <w:tbl>
      <w:tblPr>
        <w:tblStyle w:val="TableGrid"/>
        <w:tblW w:w="0" w:type="auto"/>
        <w:tblLook w:val="04A0" w:firstRow="1" w:lastRow="0" w:firstColumn="1" w:lastColumn="0" w:noHBand="0" w:noVBand="1"/>
      </w:tblPr>
      <w:tblGrid>
        <w:gridCol w:w="1409"/>
        <w:gridCol w:w="1611"/>
        <w:gridCol w:w="1358"/>
        <w:gridCol w:w="1244"/>
        <w:gridCol w:w="1682"/>
        <w:gridCol w:w="1358"/>
        <w:gridCol w:w="1244"/>
        <w:gridCol w:w="1320"/>
        <w:gridCol w:w="1358"/>
        <w:gridCol w:w="1244"/>
      </w:tblGrid>
      <w:tr w:rsidR="00585CAE" w:rsidRPr="00792E1B" w:rsidTr="00585CAE">
        <w:trPr>
          <w:trHeight w:val="756"/>
        </w:trPr>
        <w:tc>
          <w:tcPr>
            <w:tcW w:w="1409" w:type="dxa"/>
            <w:shd w:val="clear" w:color="auto" w:fill="auto"/>
          </w:tcPr>
          <w:p w:rsidR="00585CAE" w:rsidRPr="00792E1B" w:rsidRDefault="00585CAE" w:rsidP="009B1DC1">
            <w:pPr>
              <w:jc w:val="center"/>
              <w:rPr>
                <w:b/>
                <w:sz w:val="20"/>
                <w:szCs w:val="20"/>
              </w:rPr>
            </w:pPr>
            <w:proofErr w:type="spellStart"/>
            <w:r w:rsidRPr="00792E1B">
              <w:rPr>
                <w:b/>
                <w:sz w:val="20"/>
                <w:szCs w:val="20"/>
              </w:rPr>
              <w:t>Maths</w:t>
            </w:r>
            <w:proofErr w:type="spellEnd"/>
          </w:p>
        </w:tc>
        <w:tc>
          <w:tcPr>
            <w:tcW w:w="1611" w:type="dxa"/>
            <w:shd w:val="clear" w:color="auto" w:fill="C6D9F1" w:themeFill="text2" w:themeFillTint="33"/>
          </w:tcPr>
          <w:p w:rsidR="00585CAE" w:rsidRPr="00792E1B" w:rsidRDefault="00585CAE" w:rsidP="009B1DC1">
            <w:pPr>
              <w:jc w:val="center"/>
              <w:rPr>
                <w:b/>
                <w:sz w:val="20"/>
                <w:szCs w:val="20"/>
              </w:rPr>
            </w:pPr>
            <w:r w:rsidRPr="00792E1B">
              <w:rPr>
                <w:b/>
                <w:sz w:val="20"/>
                <w:szCs w:val="20"/>
              </w:rPr>
              <w:t>Working towards, WTS</w:t>
            </w:r>
          </w:p>
        </w:tc>
        <w:tc>
          <w:tcPr>
            <w:tcW w:w="1358" w:type="dxa"/>
            <w:shd w:val="clear" w:color="auto" w:fill="auto"/>
          </w:tcPr>
          <w:p w:rsidR="00585CAE" w:rsidRPr="00792E1B" w:rsidRDefault="00585CAE" w:rsidP="009B1DC1">
            <w:pPr>
              <w:jc w:val="center"/>
              <w:rPr>
                <w:b/>
                <w:sz w:val="20"/>
                <w:szCs w:val="20"/>
              </w:rPr>
            </w:pPr>
            <w:r>
              <w:rPr>
                <w:b/>
                <w:sz w:val="20"/>
                <w:szCs w:val="20"/>
              </w:rPr>
              <w:t>Local Authority</w:t>
            </w:r>
          </w:p>
        </w:tc>
        <w:tc>
          <w:tcPr>
            <w:tcW w:w="1244" w:type="dxa"/>
          </w:tcPr>
          <w:p w:rsidR="00585CAE" w:rsidRPr="00792E1B" w:rsidRDefault="00585CAE" w:rsidP="009B1DC1">
            <w:pPr>
              <w:jc w:val="center"/>
              <w:rPr>
                <w:b/>
                <w:sz w:val="20"/>
                <w:szCs w:val="20"/>
              </w:rPr>
            </w:pPr>
            <w:r w:rsidRPr="00792E1B">
              <w:rPr>
                <w:b/>
                <w:sz w:val="20"/>
                <w:szCs w:val="20"/>
              </w:rPr>
              <w:t>National</w:t>
            </w:r>
          </w:p>
        </w:tc>
        <w:tc>
          <w:tcPr>
            <w:tcW w:w="1682" w:type="dxa"/>
            <w:shd w:val="clear" w:color="auto" w:fill="C6D9F1" w:themeFill="text2" w:themeFillTint="33"/>
          </w:tcPr>
          <w:p w:rsidR="00585CAE" w:rsidRPr="00792E1B" w:rsidRDefault="00585CAE" w:rsidP="009B1DC1">
            <w:pPr>
              <w:jc w:val="center"/>
              <w:rPr>
                <w:b/>
                <w:sz w:val="20"/>
                <w:szCs w:val="20"/>
              </w:rPr>
            </w:pPr>
            <w:r w:rsidRPr="00792E1B">
              <w:rPr>
                <w:b/>
                <w:sz w:val="20"/>
                <w:szCs w:val="20"/>
              </w:rPr>
              <w:t>Working at expected standard, EXS</w:t>
            </w:r>
          </w:p>
        </w:tc>
        <w:tc>
          <w:tcPr>
            <w:tcW w:w="1358" w:type="dxa"/>
            <w:shd w:val="clear" w:color="auto" w:fill="auto"/>
          </w:tcPr>
          <w:p w:rsidR="00585CAE" w:rsidRPr="00792E1B" w:rsidRDefault="00585CAE" w:rsidP="009B1DC1">
            <w:pPr>
              <w:jc w:val="center"/>
              <w:rPr>
                <w:b/>
                <w:sz w:val="20"/>
                <w:szCs w:val="20"/>
              </w:rPr>
            </w:pPr>
            <w:r>
              <w:rPr>
                <w:b/>
                <w:sz w:val="20"/>
                <w:szCs w:val="20"/>
              </w:rPr>
              <w:t>Local Authority</w:t>
            </w:r>
          </w:p>
        </w:tc>
        <w:tc>
          <w:tcPr>
            <w:tcW w:w="1244" w:type="dxa"/>
          </w:tcPr>
          <w:p w:rsidR="00585CAE" w:rsidRPr="00792E1B" w:rsidRDefault="00585CAE" w:rsidP="009B1DC1">
            <w:pPr>
              <w:jc w:val="center"/>
              <w:rPr>
                <w:b/>
                <w:sz w:val="20"/>
                <w:szCs w:val="20"/>
              </w:rPr>
            </w:pPr>
            <w:r w:rsidRPr="00792E1B">
              <w:rPr>
                <w:b/>
                <w:sz w:val="20"/>
                <w:szCs w:val="20"/>
              </w:rPr>
              <w:t>National</w:t>
            </w:r>
          </w:p>
        </w:tc>
        <w:tc>
          <w:tcPr>
            <w:tcW w:w="1320" w:type="dxa"/>
            <w:shd w:val="clear" w:color="auto" w:fill="C6D9F1" w:themeFill="text2" w:themeFillTint="33"/>
          </w:tcPr>
          <w:p w:rsidR="00585CAE" w:rsidRDefault="00585CAE" w:rsidP="009B1DC1">
            <w:pPr>
              <w:jc w:val="center"/>
              <w:rPr>
                <w:b/>
                <w:sz w:val="20"/>
                <w:szCs w:val="20"/>
              </w:rPr>
            </w:pPr>
            <w:r>
              <w:rPr>
                <w:b/>
                <w:sz w:val="20"/>
                <w:szCs w:val="20"/>
              </w:rPr>
              <w:t>Working within Greater Depth of the Expected standard,</w:t>
            </w:r>
          </w:p>
          <w:p w:rsidR="00585CAE" w:rsidRPr="00792E1B" w:rsidRDefault="00585CAE" w:rsidP="009B1DC1">
            <w:pPr>
              <w:jc w:val="center"/>
              <w:rPr>
                <w:b/>
                <w:sz w:val="20"/>
                <w:szCs w:val="20"/>
              </w:rPr>
            </w:pPr>
            <w:r w:rsidRPr="00792E1B">
              <w:rPr>
                <w:b/>
                <w:sz w:val="20"/>
                <w:szCs w:val="20"/>
              </w:rPr>
              <w:t>GDS</w:t>
            </w:r>
          </w:p>
        </w:tc>
        <w:tc>
          <w:tcPr>
            <w:tcW w:w="1358" w:type="dxa"/>
            <w:shd w:val="clear" w:color="auto" w:fill="auto"/>
          </w:tcPr>
          <w:p w:rsidR="00585CAE" w:rsidRPr="00792E1B" w:rsidRDefault="00585CAE" w:rsidP="009B1DC1">
            <w:pPr>
              <w:jc w:val="center"/>
              <w:rPr>
                <w:b/>
                <w:sz w:val="20"/>
                <w:szCs w:val="20"/>
              </w:rPr>
            </w:pPr>
            <w:r>
              <w:rPr>
                <w:b/>
                <w:sz w:val="20"/>
                <w:szCs w:val="20"/>
              </w:rPr>
              <w:t>Local Authority</w:t>
            </w:r>
          </w:p>
        </w:tc>
        <w:tc>
          <w:tcPr>
            <w:tcW w:w="1244" w:type="dxa"/>
          </w:tcPr>
          <w:p w:rsidR="00585CAE" w:rsidRPr="00792E1B" w:rsidRDefault="00585CAE" w:rsidP="009B1DC1">
            <w:pPr>
              <w:jc w:val="center"/>
              <w:rPr>
                <w:b/>
                <w:sz w:val="20"/>
                <w:szCs w:val="20"/>
              </w:rPr>
            </w:pPr>
            <w:r w:rsidRPr="00792E1B">
              <w:rPr>
                <w:b/>
                <w:sz w:val="20"/>
                <w:szCs w:val="20"/>
              </w:rPr>
              <w:t>National</w:t>
            </w:r>
          </w:p>
        </w:tc>
      </w:tr>
      <w:tr w:rsidR="00585CAE" w:rsidRPr="00792E1B" w:rsidTr="00585CAE">
        <w:trPr>
          <w:trHeight w:val="225"/>
        </w:trPr>
        <w:tc>
          <w:tcPr>
            <w:tcW w:w="1409" w:type="dxa"/>
          </w:tcPr>
          <w:p w:rsidR="00585CAE" w:rsidRPr="00792E1B" w:rsidRDefault="00585CAE" w:rsidP="009B1DC1">
            <w:pPr>
              <w:jc w:val="center"/>
              <w:rPr>
                <w:sz w:val="20"/>
                <w:szCs w:val="20"/>
              </w:rPr>
            </w:pPr>
            <w:r w:rsidRPr="00792E1B">
              <w:rPr>
                <w:sz w:val="20"/>
                <w:szCs w:val="20"/>
              </w:rPr>
              <w:t>%</w:t>
            </w:r>
          </w:p>
        </w:tc>
        <w:tc>
          <w:tcPr>
            <w:tcW w:w="1611" w:type="dxa"/>
            <w:shd w:val="clear" w:color="auto" w:fill="C6D9F1" w:themeFill="text2" w:themeFillTint="33"/>
          </w:tcPr>
          <w:p w:rsidR="00585CAE" w:rsidRPr="00792E1B" w:rsidRDefault="0033512B" w:rsidP="009B1DC1">
            <w:pPr>
              <w:jc w:val="center"/>
              <w:rPr>
                <w:sz w:val="20"/>
                <w:szCs w:val="20"/>
              </w:rPr>
            </w:pPr>
            <w:r>
              <w:rPr>
                <w:sz w:val="20"/>
                <w:szCs w:val="20"/>
              </w:rPr>
              <w:t>27</w:t>
            </w:r>
          </w:p>
        </w:tc>
        <w:tc>
          <w:tcPr>
            <w:tcW w:w="1358" w:type="dxa"/>
          </w:tcPr>
          <w:p w:rsidR="00585CAE" w:rsidRPr="00792E1B" w:rsidRDefault="00585CAE" w:rsidP="009B1DC1">
            <w:pPr>
              <w:jc w:val="center"/>
              <w:rPr>
                <w:sz w:val="20"/>
                <w:szCs w:val="20"/>
              </w:rPr>
            </w:pPr>
            <w:r w:rsidRPr="00792E1B">
              <w:rPr>
                <w:sz w:val="20"/>
                <w:szCs w:val="20"/>
              </w:rPr>
              <w:t>27</w:t>
            </w:r>
          </w:p>
        </w:tc>
        <w:tc>
          <w:tcPr>
            <w:tcW w:w="1244" w:type="dxa"/>
          </w:tcPr>
          <w:p w:rsidR="00585CAE" w:rsidRPr="00792E1B" w:rsidRDefault="00585CAE" w:rsidP="009B1DC1">
            <w:pPr>
              <w:jc w:val="center"/>
              <w:rPr>
                <w:sz w:val="20"/>
                <w:szCs w:val="20"/>
              </w:rPr>
            </w:pPr>
            <w:r w:rsidRPr="00792E1B">
              <w:rPr>
                <w:sz w:val="20"/>
                <w:szCs w:val="20"/>
              </w:rPr>
              <w:t>21</w:t>
            </w:r>
          </w:p>
        </w:tc>
        <w:tc>
          <w:tcPr>
            <w:tcW w:w="1682" w:type="dxa"/>
            <w:shd w:val="clear" w:color="auto" w:fill="C6D9F1" w:themeFill="text2" w:themeFillTint="33"/>
          </w:tcPr>
          <w:p w:rsidR="00585CAE" w:rsidRPr="00792E1B" w:rsidRDefault="0033512B" w:rsidP="009B1DC1">
            <w:pPr>
              <w:jc w:val="center"/>
              <w:rPr>
                <w:sz w:val="20"/>
                <w:szCs w:val="20"/>
              </w:rPr>
            </w:pPr>
            <w:r>
              <w:rPr>
                <w:sz w:val="20"/>
                <w:szCs w:val="20"/>
              </w:rPr>
              <w:t>36</w:t>
            </w:r>
          </w:p>
        </w:tc>
        <w:tc>
          <w:tcPr>
            <w:tcW w:w="1358" w:type="dxa"/>
          </w:tcPr>
          <w:p w:rsidR="00585CAE" w:rsidRPr="00792E1B" w:rsidRDefault="00585CAE" w:rsidP="009B1DC1">
            <w:pPr>
              <w:jc w:val="center"/>
              <w:rPr>
                <w:sz w:val="20"/>
                <w:szCs w:val="20"/>
              </w:rPr>
            </w:pPr>
            <w:r w:rsidRPr="00792E1B">
              <w:rPr>
                <w:sz w:val="20"/>
                <w:szCs w:val="20"/>
              </w:rPr>
              <w:t>50.3</w:t>
            </w:r>
          </w:p>
        </w:tc>
        <w:tc>
          <w:tcPr>
            <w:tcW w:w="1244" w:type="dxa"/>
          </w:tcPr>
          <w:p w:rsidR="00585CAE" w:rsidRPr="00792E1B" w:rsidRDefault="00585CAE" w:rsidP="009B1DC1">
            <w:pPr>
              <w:jc w:val="center"/>
              <w:rPr>
                <w:sz w:val="20"/>
                <w:szCs w:val="20"/>
              </w:rPr>
            </w:pPr>
            <w:r w:rsidRPr="00792E1B">
              <w:rPr>
                <w:sz w:val="20"/>
                <w:szCs w:val="20"/>
              </w:rPr>
              <w:t>55</w:t>
            </w:r>
          </w:p>
        </w:tc>
        <w:tc>
          <w:tcPr>
            <w:tcW w:w="1320" w:type="dxa"/>
            <w:shd w:val="clear" w:color="auto" w:fill="C6D9F1" w:themeFill="text2" w:themeFillTint="33"/>
          </w:tcPr>
          <w:p w:rsidR="00585CAE" w:rsidRPr="00792E1B" w:rsidRDefault="0033512B" w:rsidP="009B1DC1">
            <w:pPr>
              <w:jc w:val="center"/>
              <w:rPr>
                <w:sz w:val="20"/>
                <w:szCs w:val="20"/>
              </w:rPr>
            </w:pPr>
            <w:r>
              <w:rPr>
                <w:sz w:val="20"/>
                <w:szCs w:val="20"/>
              </w:rPr>
              <w:t>3</w:t>
            </w:r>
            <w:r w:rsidR="00585CAE" w:rsidRPr="00792E1B">
              <w:rPr>
                <w:sz w:val="20"/>
                <w:szCs w:val="20"/>
              </w:rPr>
              <w:t>7</w:t>
            </w:r>
          </w:p>
        </w:tc>
        <w:tc>
          <w:tcPr>
            <w:tcW w:w="1358" w:type="dxa"/>
          </w:tcPr>
          <w:p w:rsidR="00585CAE" w:rsidRPr="00792E1B" w:rsidRDefault="00585CAE" w:rsidP="009B1DC1">
            <w:pPr>
              <w:jc w:val="center"/>
              <w:rPr>
                <w:sz w:val="20"/>
                <w:szCs w:val="20"/>
              </w:rPr>
            </w:pPr>
            <w:r w:rsidRPr="00792E1B">
              <w:rPr>
                <w:sz w:val="20"/>
                <w:szCs w:val="20"/>
              </w:rPr>
              <w:t>22.8</w:t>
            </w:r>
          </w:p>
        </w:tc>
        <w:tc>
          <w:tcPr>
            <w:tcW w:w="1244" w:type="dxa"/>
          </w:tcPr>
          <w:p w:rsidR="00585CAE" w:rsidRPr="00792E1B" w:rsidRDefault="00585CAE" w:rsidP="009B1DC1">
            <w:pPr>
              <w:jc w:val="center"/>
              <w:rPr>
                <w:sz w:val="20"/>
                <w:szCs w:val="20"/>
              </w:rPr>
            </w:pPr>
            <w:r w:rsidRPr="00792E1B">
              <w:rPr>
                <w:sz w:val="20"/>
                <w:szCs w:val="20"/>
              </w:rPr>
              <w:t>18</w:t>
            </w:r>
          </w:p>
        </w:tc>
      </w:tr>
    </w:tbl>
    <w:p w:rsidR="00585CAE" w:rsidRPr="00792E1B" w:rsidRDefault="00585CAE" w:rsidP="00585CAE">
      <w:pPr>
        <w:rPr>
          <w:sz w:val="20"/>
          <w:szCs w:val="20"/>
          <w:highlight w:val="yellow"/>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B7EC1" w:rsidRDefault="005B7EC1" w:rsidP="00585CAE">
      <w:pPr>
        <w:rPr>
          <w:b/>
          <w:sz w:val="20"/>
          <w:szCs w:val="20"/>
        </w:rPr>
      </w:pPr>
    </w:p>
    <w:p w:rsidR="00585CAE" w:rsidRPr="00792E1B" w:rsidRDefault="00585CAE" w:rsidP="00585CAE">
      <w:pPr>
        <w:rPr>
          <w:b/>
          <w:sz w:val="20"/>
          <w:szCs w:val="20"/>
        </w:rPr>
      </w:pPr>
      <w:r w:rsidRPr="00792E1B">
        <w:rPr>
          <w:b/>
          <w:sz w:val="20"/>
          <w:szCs w:val="20"/>
        </w:rPr>
        <w:lastRenderedPageBreak/>
        <w:t>Key Stage 2</w:t>
      </w:r>
    </w:p>
    <w:p w:rsidR="00585CAE" w:rsidRDefault="00585CAE" w:rsidP="00585CAE">
      <w:pPr>
        <w:rPr>
          <w:sz w:val="20"/>
          <w:szCs w:val="20"/>
        </w:rPr>
      </w:pPr>
      <w:r w:rsidRPr="00792E1B">
        <w:rPr>
          <w:sz w:val="20"/>
          <w:szCs w:val="20"/>
        </w:rPr>
        <w:t>KS2 tests are administered in May. Every school in the country will administer at the same time. Maths, reading, spelling and punctuation are marked externally.</w:t>
      </w:r>
    </w:p>
    <w:p w:rsidR="00585CAE" w:rsidRDefault="00585CAE" w:rsidP="00585CAE">
      <w:pPr>
        <w:rPr>
          <w:sz w:val="20"/>
          <w:szCs w:val="20"/>
        </w:rPr>
      </w:pPr>
    </w:p>
    <w:p w:rsidR="00585CAE" w:rsidRDefault="00585CAE" w:rsidP="005B7EC1">
      <w:pPr>
        <w:jc w:val="center"/>
        <w:rPr>
          <w:b/>
          <w:sz w:val="20"/>
          <w:szCs w:val="20"/>
        </w:rPr>
      </w:pPr>
      <w:r w:rsidRPr="00792E1B">
        <w:rPr>
          <w:b/>
          <w:sz w:val="20"/>
          <w:szCs w:val="20"/>
        </w:rPr>
        <w:t>READING</w:t>
      </w:r>
    </w:p>
    <w:p w:rsidR="005B7EC1" w:rsidRDefault="00585CAE" w:rsidP="005B7EC1">
      <w:pPr>
        <w:jc w:val="center"/>
        <w:rPr>
          <w:sz w:val="20"/>
          <w:szCs w:val="20"/>
        </w:rPr>
      </w:pPr>
      <w:r w:rsidRPr="00792E1B">
        <w:rPr>
          <w:sz w:val="20"/>
          <w:szCs w:val="20"/>
        </w:rPr>
        <w:t>Test outcome</w:t>
      </w:r>
      <w:r w:rsidR="005B7EC1">
        <w:rPr>
          <w:sz w:val="20"/>
          <w:szCs w:val="20"/>
        </w:rPr>
        <w:t>.</w:t>
      </w:r>
    </w:p>
    <w:p w:rsidR="005B7EC1" w:rsidRDefault="005B7EC1" w:rsidP="00585CAE">
      <w:pPr>
        <w:rPr>
          <w:sz w:val="20"/>
          <w:szCs w:val="20"/>
        </w:rPr>
      </w:pPr>
    </w:p>
    <w:p w:rsidR="005B7EC1" w:rsidRDefault="005B7EC1" w:rsidP="005B7EC1">
      <w:pPr>
        <w:rPr>
          <w:b/>
          <w:sz w:val="20"/>
          <w:szCs w:val="20"/>
        </w:rPr>
      </w:pPr>
      <w:r>
        <w:rPr>
          <w:sz w:val="20"/>
          <w:szCs w:val="20"/>
        </w:rPr>
        <w:t xml:space="preserve">Working at or above expected standard: </w:t>
      </w:r>
      <w:r w:rsidRPr="00792E1B">
        <w:rPr>
          <w:sz w:val="20"/>
          <w:szCs w:val="20"/>
        </w:rPr>
        <w:t>NATIONAL 66</w:t>
      </w:r>
      <w:proofErr w:type="gramStart"/>
      <w:r w:rsidRPr="00792E1B">
        <w:rPr>
          <w:sz w:val="20"/>
          <w:szCs w:val="20"/>
        </w:rPr>
        <w:t xml:space="preserve">% </w:t>
      </w:r>
      <w:r>
        <w:rPr>
          <w:sz w:val="20"/>
          <w:szCs w:val="20"/>
        </w:rPr>
        <w:t xml:space="preserve"> </w:t>
      </w:r>
      <w:proofErr w:type="spellStart"/>
      <w:r>
        <w:rPr>
          <w:b/>
          <w:sz w:val="20"/>
          <w:szCs w:val="20"/>
        </w:rPr>
        <w:t>Tutshill</w:t>
      </w:r>
      <w:proofErr w:type="spellEnd"/>
      <w:proofErr w:type="gramEnd"/>
      <w:r>
        <w:rPr>
          <w:b/>
          <w:sz w:val="20"/>
          <w:szCs w:val="20"/>
        </w:rPr>
        <w:t xml:space="preserve"> </w:t>
      </w:r>
      <w:r w:rsidRPr="005B7EC1">
        <w:rPr>
          <w:b/>
          <w:sz w:val="20"/>
          <w:szCs w:val="20"/>
        </w:rPr>
        <w:t>School 72.4%</w:t>
      </w:r>
    </w:p>
    <w:p w:rsidR="00585CAE" w:rsidRPr="00792E1B" w:rsidRDefault="00585CAE" w:rsidP="00585CAE">
      <w:pPr>
        <w:rPr>
          <w:sz w:val="20"/>
          <w:szCs w:val="20"/>
        </w:rPr>
      </w:pPr>
    </w:p>
    <w:tbl>
      <w:tblPr>
        <w:tblStyle w:val="TableGrid"/>
        <w:tblW w:w="0" w:type="auto"/>
        <w:jc w:val="center"/>
        <w:tblLook w:val="04A0" w:firstRow="1" w:lastRow="0" w:firstColumn="1" w:lastColumn="0" w:noHBand="0" w:noVBand="1"/>
      </w:tblPr>
      <w:tblGrid>
        <w:gridCol w:w="1162"/>
        <w:gridCol w:w="1221"/>
        <w:gridCol w:w="1013"/>
        <w:gridCol w:w="1274"/>
        <w:gridCol w:w="1013"/>
      </w:tblGrid>
      <w:tr w:rsidR="00585CAE" w:rsidRPr="00792E1B" w:rsidTr="009B1DC1">
        <w:trPr>
          <w:trHeight w:val="864"/>
          <w:jc w:val="center"/>
        </w:trPr>
        <w:tc>
          <w:tcPr>
            <w:tcW w:w="1162" w:type="dxa"/>
            <w:shd w:val="clear" w:color="auto" w:fill="auto"/>
          </w:tcPr>
          <w:p w:rsidR="00585CAE" w:rsidRPr="00792E1B" w:rsidRDefault="00585CAE" w:rsidP="009B1DC1">
            <w:pPr>
              <w:rPr>
                <w:b/>
                <w:sz w:val="20"/>
                <w:szCs w:val="20"/>
              </w:rPr>
            </w:pPr>
            <w:r w:rsidRPr="00792E1B">
              <w:rPr>
                <w:b/>
                <w:sz w:val="20"/>
                <w:szCs w:val="20"/>
              </w:rPr>
              <w:t>Reading</w:t>
            </w:r>
          </w:p>
        </w:tc>
        <w:tc>
          <w:tcPr>
            <w:tcW w:w="1221" w:type="dxa"/>
            <w:shd w:val="clear" w:color="auto" w:fill="C6D9F1" w:themeFill="text2" w:themeFillTint="33"/>
          </w:tcPr>
          <w:p w:rsidR="00585CAE" w:rsidRPr="00792E1B" w:rsidRDefault="00585CAE" w:rsidP="009B1DC1">
            <w:pPr>
              <w:rPr>
                <w:b/>
                <w:sz w:val="20"/>
                <w:szCs w:val="20"/>
              </w:rPr>
            </w:pPr>
            <w:r w:rsidRPr="00792E1B">
              <w:rPr>
                <w:b/>
                <w:sz w:val="20"/>
                <w:szCs w:val="20"/>
              </w:rPr>
              <w:t>Working towards, WTS</w:t>
            </w:r>
          </w:p>
        </w:tc>
        <w:tc>
          <w:tcPr>
            <w:tcW w:w="790" w:type="dxa"/>
            <w:shd w:val="clear" w:color="auto" w:fill="auto"/>
          </w:tcPr>
          <w:p w:rsidR="00585CAE" w:rsidRPr="00792E1B" w:rsidRDefault="00585CAE" w:rsidP="009B1DC1">
            <w:pPr>
              <w:rPr>
                <w:b/>
                <w:sz w:val="20"/>
                <w:szCs w:val="20"/>
              </w:rPr>
            </w:pPr>
            <w:r>
              <w:rPr>
                <w:b/>
                <w:sz w:val="20"/>
                <w:szCs w:val="20"/>
              </w:rPr>
              <w:t>Local Authority</w:t>
            </w:r>
          </w:p>
        </w:tc>
        <w:tc>
          <w:tcPr>
            <w:tcW w:w="1274" w:type="dxa"/>
            <w:shd w:val="clear" w:color="auto" w:fill="C6D9F1" w:themeFill="text2" w:themeFillTint="33"/>
          </w:tcPr>
          <w:p w:rsidR="00585CAE" w:rsidRPr="00792E1B" w:rsidRDefault="00585CAE" w:rsidP="009B1DC1">
            <w:pPr>
              <w:rPr>
                <w:b/>
                <w:sz w:val="20"/>
                <w:szCs w:val="20"/>
              </w:rPr>
            </w:pPr>
            <w:r w:rsidRPr="00792E1B">
              <w:rPr>
                <w:b/>
                <w:sz w:val="20"/>
                <w:szCs w:val="20"/>
              </w:rPr>
              <w:t>Working at expected standard, EXS</w:t>
            </w:r>
          </w:p>
        </w:tc>
        <w:tc>
          <w:tcPr>
            <w:tcW w:w="746" w:type="dxa"/>
            <w:shd w:val="clear" w:color="auto" w:fill="auto"/>
          </w:tcPr>
          <w:p w:rsidR="00585CAE" w:rsidRPr="00792E1B" w:rsidRDefault="00585CAE" w:rsidP="009B1DC1">
            <w:pPr>
              <w:rPr>
                <w:b/>
                <w:sz w:val="20"/>
                <w:szCs w:val="20"/>
              </w:rPr>
            </w:pPr>
            <w:r>
              <w:rPr>
                <w:b/>
                <w:sz w:val="20"/>
                <w:szCs w:val="20"/>
              </w:rPr>
              <w:t>Local Authority</w:t>
            </w:r>
          </w:p>
        </w:tc>
      </w:tr>
      <w:tr w:rsidR="00585CAE" w:rsidRPr="00792E1B" w:rsidTr="009B1DC1">
        <w:trPr>
          <w:trHeight w:val="445"/>
          <w:jc w:val="center"/>
        </w:trPr>
        <w:tc>
          <w:tcPr>
            <w:tcW w:w="1162" w:type="dxa"/>
            <w:shd w:val="clear" w:color="auto" w:fill="auto"/>
          </w:tcPr>
          <w:p w:rsidR="00585CAE" w:rsidRPr="00792E1B" w:rsidRDefault="00585CAE" w:rsidP="009B1DC1">
            <w:pPr>
              <w:rPr>
                <w:sz w:val="20"/>
                <w:szCs w:val="20"/>
              </w:rPr>
            </w:pPr>
            <w:r w:rsidRPr="00792E1B">
              <w:rPr>
                <w:sz w:val="20"/>
                <w:szCs w:val="20"/>
              </w:rPr>
              <w:t>%</w:t>
            </w:r>
          </w:p>
        </w:tc>
        <w:tc>
          <w:tcPr>
            <w:tcW w:w="1221" w:type="dxa"/>
            <w:shd w:val="clear" w:color="auto" w:fill="C6D9F1" w:themeFill="text2" w:themeFillTint="33"/>
          </w:tcPr>
          <w:p w:rsidR="00585CAE" w:rsidRPr="00792E1B" w:rsidRDefault="00585CAE" w:rsidP="009B1DC1">
            <w:pPr>
              <w:rPr>
                <w:sz w:val="20"/>
                <w:szCs w:val="20"/>
              </w:rPr>
            </w:pPr>
            <w:r w:rsidRPr="00792E1B">
              <w:rPr>
                <w:sz w:val="20"/>
                <w:szCs w:val="20"/>
              </w:rPr>
              <w:t>27.6</w:t>
            </w:r>
          </w:p>
        </w:tc>
        <w:tc>
          <w:tcPr>
            <w:tcW w:w="790" w:type="dxa"/>
            <w:shd w:val="clear" w:color="auto" w:fill="auto"/>
          </w:tcPr>
          <w:p w:rsidR="00585CAE" w:rsidRPr="00792E1B" w:rsidRDefault="00585CAE" w:rsidP="009B1DC1">
            <w:pPr>
              <w:rPr>
                <w:sz w:val="20"/>
                <w:szCs w:val="20"/>
              </w:rPr>
            </w:pPr>
            <w:r w:rsidRPr="00792E1B">
              <w:rPr>
                <w:sz w:val="20"/>
                <w:szCs w:val="20"/>
              </w:rPr>
              <w:t>30.5</w:t>
            </w:r>
          </w:p>
        </w:tc>
        <w:tc>
          <w:tcPr>
            <w:tcW w:w="1274" w:type="dxa"/>
            <w:shd w:val="clear" w:color="auto" w:fill="C6D9F1" w:themeFill="text2" w:themeFillTint="33"/>
          </w:tcPr>
          <w:p w:rsidR="00585CAE" w:rsidRPr="00792E1B" w:rsidRDefault="00585CAE" w:rsidP="009B1DC1">
            <w:pPr>
              <w:rPr>
                <w:sz w:val="20"/>
                <w:szCs w:val="20"/>
              </w:rPr>
            </w:pPr>
            <w:r w:rsidRPr="00792E1B">
              <w:rPr>
                <w:sz w:val="20"/>
                <w:szCs w:val="20"/>
              </w:rPr>
              <w:t>72.4</w:t>
            </w:r>
          </w:p>
        </w:tc>
        <w:tc>
          <w:tcPr>
            <w:tcW w:w="746" w:type="dxa"/>
            <w:shd w:val="clear" w:color="auto" w:fill="auto"/>
          </w:tcPr>
          <w:p w:rsidR="00585CAE" w:rsidRPr="00792E1B" w:rsidRDefault="00585CAE" w:rsidP="009B1DC1">
            <w:pPr>
              <w:rPr>
                <w:sz w:val="20"/>
                <w:szCs w:val="20"/>
              </w:rPr>
            </w:pPr>
            <w:r w:rsidRPr="00792E1B">
              <w:rPr>
                <w:sz w:val="20"/>
                <w:szCs w:val="20"/>
              </w:rPr>
              <w:t>69.5</w:t>
            </w:r>
          </w:p>
        </w:tc>
      </w:tr>
    </w:tbl>
    <w:p w:rsidR="00585CAE" w:rsidRPr="00792E1B" w:rsidRDefault="00585CAE" w:rsidP="00585CAE">
      <w:pPr>
        <w:rPr>
          <w:sz w:val="20"/>
          <w:szCs w:val="20"/>
        </w:rPr>
      </w:pPr>
    </w:p>
    <w:p w:rsidR="00585CAE" w:rsidRDefault="00585CAE" w:rsidP="00585CAE">
      <w:pPr>
        <w:jc w:val="center"/>
        <w:rPr>
          <w:b/>
          <w:sz w:val="20"/>
          <w:szCs w:val="20"/>
        </w:rPr>
      </w:pPr>
      <w:r>
        <w:rPr>
          <w:b/>
          <w:sz w:val="20"/>
          <w:szCs w:val="20"/>
        </w:rPr>
        <w:t>Writing Teachers Assessment (TA)</w:t>
      </w:r>
    </w:p>
    <w:p w:rsidR="00585CAE" w:rsidRDefault="00585CAE" w:rsidP="005B7EC1">
      <w:pPr>
        <w:jc w:val="center"/>
        <w:rPr>
          <w:sz w:val="20"/>
          <w:szCs w:val="20"/>
        </w:rPr>
      </w:pPr>
      <w:r w:rsidRPr="00792E1B">
        <w:rPr>
          <w:sz w:val="20"/>
          <w:szCs w:val="20"/>
        </w:rPr>
        <w:t xml:space="preserve">(Teachers are required to assess the children’s writing taking into consideration a range of writing in a range of subjects. The school reports this to the </w:t>
      </w:r>
      <w:proofErr w:type="spellStart"/>
      <w:r w:rsidRPr="00792E1B">
        <w:rPr>
          <w:sz w:val="20"/>
          <w:szCs w:val="20"/>
        </w:rPr>
        <w:t>DfE</w:t>
      </w:r>
      <w:proofErr w:type="spellEnd"/>
      <w:r w:rsidRPr="00792E1B">
        <w:rPr>
          <w:sz w:val="20"/>
          <w:szCs w:val="20"/>
        </w:rPr>
        <w:t>.</w:t>
      </w:r>
      <w:r w:rsidR="005B7EC1">
        <w:rPr>
          <w:sz w:val="20"/>
          <w:szCs w:val="20"/>
        </w:rPr>
        <w:t>)</w:t>
      </w:r>
    </w:p>
    <w:p w:rsidR="00585CAE" w:rsidRPr="00792E1B" w:rsidRDefault="00585CAE" w:rsidP="00585CAE">
      <w:pPr>
        <w:rPr>
          <w:b/>
          <w:sz w:val="20"/>
          <w:szCs w:val="20"/>
        </w:rPr>
      </w:pPr>
    </w:p>
    <w:p w:rsidR="00585CAE" w:rsidRDefault="005B7EC1" w:rsidP="00585CAE">
      <w:pPr>
        <w:rPr>
          <w:b/>
          <w:sz w:val="20"/>
          <w:szCs w:val="20"/>
        </w:rPr>
      </w:pPr>
      <w:r>
        <w:rPr>
          <w:sz w:val="20"/>
          <w:szCs w:val="20"/>
        </w:rPr>
        <w:t xml:space="preserve">Working at or above the expected outcome: </w:t>
      </w:r>
      <w:r w:rsidR="00585CAE" w:rsidRPr="00792E1B">
        <w:rPr>
          <w:sz w:val="20"/>
          <w:szCs w:val="20"/>
        </w:rPr>
        <w:t>NATIONAL 74</w:t>
      </w:r>
      <w:r w:rsidRPr="00792E1B">
        <w:rPr>
          <w:sz w:val="20"/>
          <w:szCs w:val="20"/>
        </w:rPr>
        <w:t>%</w:t>
      </w:r>
      <w:r w:rsidRPr="00792E1B">
        <w:rPr>
          <w:b/>
          <w:sz w:val="20"/>
          <w:szCs w:val="20"/>
        </w:rPr>
        <w:t xml:space="preserve"> </w:t>
      </w:r>
      <w:proofErr w:type="spellStart"/>
      <w:r>
        <w:rPr>
          <w:b/>
          <w:sz w:val="20"/>
          <w:szCs w:val="20"/>
        </w:rPr>
        <w:t>Tutshill</w:t>
      </w:r>
      <w:proofErr w:type="spellEnd"/>
      <w:r>
        <w:rPr>
          <w:b/>
          <w:sz w:val="20"/>
          <w:szCs w:val="20"/>
        </w:rPr>
        <w:t xml:space="preserve"> School 72.3%</w:t>
      </w:r>
    </w:p>
    <w:p w:rsidR="005B7EC1" w:rsidRDefault="005B7EC1" w:rsidP="00585CAE">
      <w:pPr>
        <w:rPr>
          <w:b/>
          <w:sz w:val="20"/>
          <w:szCs w:val="20"/>
        </w:rPr>
      </w:pPr>
      <w:proofErr w:type="spellStart"/>
      <w:r>
        <w:rPr>
          <w:b/>
          <w:sz w:val="20"/>
          <w:szCs w:val="20"/>
        </w:rPr>
        <w:t>Tutshill</w:t>
      </w:r>
      <w:proofErr w:type="spellEnd"/>
      <w:r>
        <w:rPr>
          <w:b/>
          <w:sz w:val="20"/>
          <w:szCs w:val="20"/>
        </w:rPr>
        <w:t xml:space="preserve"> School was externally moderated and the school judgements agreed</w:t>
      </w:r>
    </w:p>
    <w:p w:rsidR="005B7EC1" w:rsidRPr="00792E1B" w:rsidRDefault="005B7EC1" w:rsidP="00585CAE">
      <w:pPr>
        <w:rPr>
          <w:b/>
          <w:sz w:val="20"/>
          <w:szCs w:val="20"/>
        </w:rPr>
      </w:pPr>
    </w:p>
    <w:tbl>
      <w:tblPr>
        <w:tblStyle w:val="TableGrid"/>
        <w:tblW w:w="0" w:type="auto"/>
        <w:tblLook w:val="04A0" w:firstRow="1" w:lastRow="0" w:firstColumn="1" w:lastColumn="0" w:noHBand="0" w:noVBand="1"/>
      </w:tblPr>
      <w:tblGrid>
        <w:gridCol w:w="1586"/>
        <w:gridCol w:w="1333"/>
        <w:gridCol w:w="1413"/>
        <w:gridCol w:w="1706"/>
        <w:gridCol w:w="1413"/>
        <w:gridCol w:w="1780"/>
        <w:gridCol w:w="1413"/>
        <w:gridCol w:w="1836"/>
        <w:gridCol w:w="1413"/>
      </w:tblGrid>
      <w:tr w:rsidR="00585CAE" w:rsidRPr="00792E1B" w:rsidTr="00585CAE">
        <w:trPr>
          <w:trHeight w:val="869"/>
        </w:trPr>
        <w:tc>
          <w:tcPr>
            <w:tcW w:w="1586" w:type="dxa"/>
            <w:shd w:val="clear" w:color="auto" w:fill="auto"/>
          </w:tcPr>
          <w:p w:rsidR="00585CAE" w:rsidRPr="00792E1B" w:rsidRDefault="00585CAE" w:rsidP="009B1DC1">
            <w:pPr>
              <w:rPr>
                <w:b/>
                <w:sz w:val="20"/>
                <w:szCs w:val="20"/>
              </w:rPr>
            </w:pPr>
            <w:r w:rsidRPr="00792E1B">
              <w:rPr>
                <w:b/>
                <w:sz w:val="20"/>
                <w:szCs w:val="20"/>
              </w:rPr>
              <w:t>Writing</w:t>
            </w:r>
          </w:p>
        </w:tc>
        <w:tc>
          <w:tcPr>
            <w:tcW w:w="1333" w:type="dxa"/>
            <w:shd w:val="clear" w:color="auto" w:fill="C6D9F1" w:themeFill="text2" w:themeFillTint="33"/>
          </w:tcPr>
          <w:p w:rsidR="00585CAE" w:rsidRPr="00792E1B" w:rsidRDefault="00585CAE" w:rsidP="009B1DC1">
            <w:pPr>
              <w:rPr>
                <w:b/>
                <w:sz w:val="20"/>
                <w:szCs w:val="20"/>
              </w:rPr>
            </w:pPr>
            <w:r w:rsidRPr="00792E1B">
              <w:rPr>
                <w:b/>
                <w:sz w:val="20"/>
                <w:szCs w:val="20"/>
              </w:rPr>
              <w:t>Pre key stage</w:t>
            </w:r>
          </w:p>
        </w:tc>
        <w:tc>
          <w:tcPr>
            <w:tcW w:w="1413" w:type="dxa"/>
          </w:tcPr>
          <w:p w:rsidR="00585CAE" w:rsidRPr="00792E1B" w:rsidRDefault="00585CAE" w:rsidP="009B1DC1">
            <w:pPr>
              <w:rPr>
                <w:b/>
                <w:sz w:val="20"/>
                <w:szCs w:val="20"/>
              </w:rPr>
            </w:pPr>
            <w:r w:rsidRPr="00792E1B">
              <w:rPr>
                <w:b/>
                <w:sz w:val="20"/>
                <w:szCs w:val="20"/>
              </w:rPr>
              <w:t>LA</w:t>
            </w:r>
            <w:r>
              <w:rPr>
                <w:b/>
                <w:sz w:val="20"/>
                <w:szCs w:val="20"/>
              </w:rPr>
              <w:t xml:space="preserve"> Local Authority</w:t>
            </w:r>
          </w:p>
        </w:tc>
        <w:tc>
          <w:tcPr>
            <w:tcW w:w="1706" w:type="dxa"/>
            <w:shd w:val="clear" w:color="auto" w:fill="C6D9F1" w:themeFill="text2" w:themeFillTint="33"/>
          </w:tcPr>
          <w:p w:rsidR="00585CAE" w:rsidRPr="00792E1B" w:rsidRDefault="00585CAE" w:rsidP="009B1DC1">
            <w:pPr>
              <w:rPr>
                <w:b/>
                <w:sz w:val="20"/>
                <w:szCs w:val="20"/>
              </w:rPr>
            </w:pPr>
            <w:r w:rsidRPr="00792E1B">
              <w:rPr>
                <w:b/>
                <w:sz w:val="20"/>
                <w:szCs w:val="20"/>
              </w:rPr>
              <w:t>Working towards, WTS</w:t>
            </w:r>
          </w:p>
        </w:tc>
        <w:tc>
          <w:tcPr>
            <w:tcW w:w="1413" w:type="dxa"/>
            <w:shd w:val="clear" w:color="auto" w:fill="auto"/>
          </w:tcPr>
          <w:p w:rsidR="00585CAE" w:rsidRPr="00792E1B" w:rsidRDefault="00585CAE" w:rsidP="009B1DC1">
            <w:pPr>
              <w:rPr>
                <w:b/>
                <w:sz w:val="20"/>
                <w:szCs w:val="20"/>
              </w:rPr>
            </w:pPr>
            <w:r w:rsidRPr="00792E1B">
              <w:rPr>
                <w:b/>
                <w:sz w:val="20"/>
                <w:szCs w:val="20"/>
              </w:rPr>
              <w:t>LA</w:t>
            </w:r>
            <w:r>
              <w:rPr>
                <w:b/>
                <w:sz w:val="20"/>
                <w:szCs w:val="20"/>
              </w:rPr>
              <w:t xml:space="preserve"> Local Authority</w:t>
            </w:r>
          </w:p>
        </w:tc>
        <w:tc>
          <w:tcPr>
            <w:tcW w:w="1780" w:type="dxa"/>
            <w:shd w:val="clear" w:color="auto" w:fill="C6D9F1" w:themeFill="text2" w:themeFillTint="33"/>
          </w:tcPr>
          <w:p w:rsidR="00585CAE" w:rsidRPr="00792E1B" w:rsidRDefault="00585CAE" w:rsidP="009B1DC1">
            <w:pPr>
              <w:rPr>
                <w:b/>
                <w:sz w:val="20"/>
                <w:szCs w:val="20"/>
              </w:rPr>
            </w:pPr>
            <w:r w:rsidRPr="00792E1B">
              <w:rPr>
                <w:b/>
                <w:sz w:val="20"/>
                <w:szCs w:val="20"/>
              </w:rPr>
              <w:t>Working at expected standard, EXS</w:t>
            </w:r>
          </w:p>
        </w:tc>
        <w:tc>
          <w:tcPr>
            <w:tcW w:w="1413" w:type="dxa"/>
            <w:shd w:val="clear" w:color="auto" w:fill="auto"/>
          </w:tcPr>
          <w:p w:rsidR="00585CAE" w:rsidRPr="00792E1B" w:rsidRDefault="00585CAE" w:rsidP="009B1DC1">
            <w:pPr>
              <w:rPr>
                <w:b/>
                <w:sz w:val="20"/>
                <w:szCs w:val="20"/>
              </w:rPr>
            </w:pPr>
            <w:r>
              <w:rPr>
                <w:b/>
                <w:sz w:val="20"/>
                <w:szCs w:val="20"/>
              </w:rPr>
              <w:t>Local Authority</w:t>
            </w:r>
          </w:p>
        </w:tc>
        <w:tc>
          <w:tcPr>
            <w:tcW w:w="1836" w:type="dxa"/>
            <w:shd w:val="clear" w:color="auto" w:fill="auto"/>
          </w:tcPr>
          <w:p w:rsidR="00585CAE" w:rsidRDefault="00585CAE" w:rsidP="00585CAE">
            <w:pPr>
              <w:jc w:val="center"/>
              <w:rPr>
                <w:b/>
                <w:sz w:val="20"/>
                <w:szCs w:val="20"/>
              </w:rPr>
            </w:pPr>
            <w:r>
              <w:rPr>
                <w:b/>
                <w:sz w:val="20"/>
                <w:szCs w:val="20"/>
              </w:rPr>
              <w:t>Working within Greater Depth of the Expected standard,</w:t>
            </w:r>
          </w:p>
          <w:p w:rsidR="00585CAE" w:rsidRPr="00792E1B" w:rsidRDefault="00585CAE" w:rsidP="00585CAE">
            <w:pPr>
              <w:rPr>
                <w:b/>
                <w:sz w:val="20"/>
                <w:szCs w:val="20"/>
              </w:rPr>
            </w:pPr>
            <w:r w:rsidRPr="00792E1B">
              <w:rPr>
                <w:b/>
                <w:sz w:val="20"/>
                <w:szCs w:val="20"/>
              </w:rPr>
              <w:t>GDS</w:t>
            </w:r>
          </w:p>
        </w:tc>
        <w:tc>
          <w:tcPr>
            <w:tcW w:w="1413" w:type="dxa"/>
            <w:shd w:val="clear" w:color="auto" w:fill="auto"/>
          </w:tcPr>
          <w:p w:rsidR="00585CAE" w:rsidRPr="00792E1B" w:rsidRDefault="00585CAE" w:rsidP="009B1DC1">
            <w:pPr>
              <w:rPr>
                <w:b/>
                <w:sz w:val="20"/>
                <w:szCs w:val="20"/>
              </w:rPr>
            </w:pPr>
            <w:r>
              <w:rPr>
                <w:b/>
                <w:sz w:val="20"/>
                <w:szCs w:val="20"/>
              </w:rPr>
              <w:t>Local Authority</w:t>
            </w:r>
          </w:p>
        </w:tc>
      </w:tr>
      <w:tr w:rsidR="00585CAE" w:rsidRPr="00792E1B" w:rsidTr="00585CAE">
        <w:trPr>
          <w:trHeight w:val="448"/>
        </w:trPr>
        <w:tc>
          <w:tcPr>
            <w:tcW w:w="1586" w:type="dxa"/>
            <w:shd w:val="clear" w:color="auto" w:fill="auto"/>
          </w:tcPr>
          <w:p w:rsidR="00585CAE" w:rsidRPr="00792E1B" w:rsidRDefault="00585CAE" w:rsidP="009B1DC1">
            <w:pPr>
              <w:rPr>
                <w:sz w:val="20"/>
                <w:szCs w:val="20"/>
              </w:rPr>
            </w:pPr>
            <w:r w:rsidRPr="00792E1B">
              <w:rPr>
                <w:sz w:val="20"/>
                <w:szCs w:val="20"/>
              </w:rPr>
              <w:t>%</w:t>
            </w:r>
          </w:p>
        </w:tc>
        <w:tc>
          <w:tcPr>
            <w:tcW w:w="1333" w:type="dxa"/>
            <w:shd w:val="clear" w:color="auto" w:fill="C6D9F1" w:themeFill="text2" w:themeFillTint="33"/>
          </w:tcPr>
          <w:p w:rsidR="00585CAE" w:rsidRPr="00792E1B" w:rsidRDefault="00585CAE" w:rsidP="009B1DC1">
            <w:pPr>
              <w:rPr>
                <w:sz w:val="20"/>
                <w:szCs w:val="20"/>
              </w:rPr>
            </w:pPr>
            <w:r w:rsidRPr="00792E1B">
              <w:rPr>
                <w:sz w:val="20"/>
                <w:szCs w:val="20"/>
              </w:rPr>
              <w:t>6.9</w:t>
            </w:r>
          </w:p>
        </w:tc>
        <w:tc>
          <w:tcPr>
            <w:tcW w:w="1413" w:type="dxa"/>
          </w:tcPr>
          <w:p w:rsidR="00585CAE" w:rsidRPr="00792E1B" w:rsidRDefault="00585CAE" w:rsidP="009B1DC1">
            <w:pPr>
              <w:rPr>
                <w:sz w:val="20"/>
                <w:szCs w:val="20"/>
              </w:rPr>
            </w:pPr>
            <w:r w:rsidRPr="00792E1B">
              <w:rPr>
                <w:sz w:val="20"/>
                <w:szCs w:val="20"/>
              </w:rPr>
              <w:t>3.6</w:t>
            </w:r>
          </w:p>
        </w:tc>
        <w:tc>
          <w:tcPr>
            <w:tcW w:w="1706" w:type="dxa"/>
            <w:shd w:val="clear" w:color="auto" w:fill="C6D9F1" w:themeFill="text2" w:themeFillTint="33"/>
          </w:tcPr>
          <w:p w:rsidR="00585CAE" w:rsidRPr="00792E1B" w:rsidRDefault="00585CAE" w:rsidP="009B1DC1">
            <w:pPr>
              <w:rPr>
                <w:sz w:val="20"/>
                <w:szCs w:val="20"/>
              </w:rPr>
            </w:pPr>
            <w:r w:rsidRPr="00792E1B">
              <w:rPr>
                <w:sz w:val="20"/>
                <w:szCs w:val="20"/>
              </w:rPr>
              <w:t>27.6</w:t>
            </w:r>
          </w:p>
        </w:tc>
        <w:tc>
          <w:tcPr>
            <w:tcW w:w="1413" w:type="dxa"/>
            <w:shd w:val="clear" w:color="auto" w:fill="auto"/>
          </w:tcPr>
          <w:p w:rsidR="00585CAE" w:rsidRPr="00792E1B" w:rsidRDefault="00585CAE" w:rsidP="009B1DC1">
            <w:pPr>
              <w:rPr>
                <w:sz w:val="20"/>
                <w:szCs w:val="20"/>
              </w:rPr>
            </w:pPr>
            <w:r w:rsidRPr="00792E1B">
              <w:rPr>
                <w:sz w:val="20"/>
                <w:szCs w:val="20"/>
              </w:rPr>
              <w:t>30.2</w:t>
            </w:r>
          </w:p>
        </w:tc>
        <w:tc>
          <w:tcPr>
            <w:tcW w:w="1780" w:type="dxa"/>
            <w:shd w:val="clear" w:color="auto" w:fill="C6D9F1" w:themeFill="text2" w:themeFillTint="33"/>
          </w:tcPr>
          <w:p w:rsidR="00585CAE" w:rsidRPr="00792E1B" w:rsidRDefault="00585CAE" w:rsidP="009B1DC1">
            <w:pPr>
              <w:rPr>
                <w:sz w:val="20"/>
                <w:szCs w:val="20"/>
              </w:rPr>
            </w:pPr>
            <w:r w:rsidRPr="00792E1B">
              <w:rPr>
                <w:sz w:val="20"/>
                <w:szCs w:val="20"/>
              </w:rPr>
              <w:t>55.1</w:t>
            </w:r>
          </w:p>
        </w:tc>
        <w:tc>
          <w:tcPr>
            <w:tcW w:w="1413" w:type="dxa"/>
            <w:shd w:val="clear" w:color="auto" w:fill="auto"/>
          </w:tcPr>
          <w:p w:rsidR="00585CAE" w:rsidRPr="00792E1B" w:rsidRDefault="00585CAE" w:rsidP="009B1DC1">
            <w:pPr>
              <w:rPr>
                <w:sz w:val="20"/>
                <w:szCs w:val="20"/>
              </w:rPr>
            </w:pPr>
            <w:r w:rsidRPr="00792E1B">
              <w:rPr>
                <w:sz w:val="20"/>
                <w:szCs w:val="20"/>
              </w:rPr>
              <w:t>56.1</w:t>
            </w:r>
          </w:p>
        </w:tc>
        <w:tc>
          <w:tcPr>
            <w:tcW w:w="1836" w:type="dxa"/>
            <w:shd w:val="clear" w:color="auto" w:fill="auto"/>
          </w:tcPr>
          <w:p w:rsidR="00585CAE" w:rsidRPr="00792E1B" w:rsidRDefault="00585CAE" w:rsidP="009B1DC1">
            <w:pPr>
              <w:rPr>
                <w:sz w:val="20"/>
                <w:szCs w:val="20"/>
              </w:rPr>
            </w:pPr>
            <w:r w:rsidRPr="00792E1B">
              <w:rPr>
                <w:sz w:val="20"/>
                <w:szCs w:val="20"/>
              </w:rPr>
              <w:t>17.2</w:t>
            </w:r>
          </w:p>
        </w:tc>
        <w:tc>
          <w:tcPr>
            <w:tcW w:w="1413" w:type="dxa"/>
            <w:shd w:val="clear" w:color="auto" w:fill="auto"/>
          </w:tcPr>
          <w:p w:rsidR="00585CAE" w:rsidRPr="00792E1B" w:rsidRDefault="00585CAE" w:rsidP="009B1DC1">
            <w:pPr>
              <w:rPr>
                <w:sz w:val="20"/>
                <w:szCs w:val="20"/>
              </w:rPr>
            </w:pPr>
            <w:r w:rsidRPr="00792E1B">
              <w:rPr>
                <w:sz w:val="20"/>
                <w:szCs w:val="20"/>
              </w:rPr>
              <w:t>13.4</w:t>
            </w:r>
          </w:p>
        </w:tc>
      </w:tr>
    </w:tbl>
    <w:p w:rsidR="00585CAE" w:rsidRDefault="00585CAE" w:rsidP="00585CAE">
      <w:pPr>
        <w:rPr>
          <w:sz w:val="20"/>
          <w:szCs w:val="20"/>
        </w:rPr>
      </w:pPr>
    </w:p>
    <w:p w:rsidR="005B7EC1" w:rsidRPr="005B7EC1" w:rsidRDefault="005B7EC1" w:rsidP="005B7EC1">
      <w:pPr>
        <w:jc w:val="center"/>
        <w:rPr>
          <w:b/>
          <w:sz w:val="20"/>
          <w:szCs w:val="20"/>
        </w:rPr>
      </w:pPr>
      <w:r w:rsidRPr="005B7EC1">
        <w:rPr>
          <w:b/>
          <w:sz w:val="20"/>
          <w:szCs w:val="20"/>
        </w:rPr>
        <w:t>Maths</w:t>
      </w:r>
    </w:p>
    <w:p w:rsidR="005B7EC1" w:rsidRDefault="00585CAE" w:rsidP="005B7EC1">
      <w:pPr>
        <w:jc w:val="center"/>
        <w:rPr>
          <w:b/>
          <w:sz w:val="20"/>
          <w:szCs w:val="20"/>
        </w:rPr>
      </w:pPr>
      <w:r w:rsidRPr="00792E1B">
        <w:rPr>
          <w:b/>
          <w:sz w:val="20"/>
          <w:szCs w:val="20"/>
        </w:rPr>
        <w:t>TEST OUTCOME</w:t>
      </w:r>
    </w:p>
    <w:p w:rsidR="005B7EC1" w:rsidRDefault="005B7EC1" w:rsidP="005B7EC1">
      <w:pPr>
        <w:rPr>
          <w:b/>
          <w:sz w:val="20"/>
          <w:szCs w:val="20"/>
        </w:rPr>
      </w:pPr>
      <w:r>
        <w:rPr>
          <w:sz w:val="20"/>
          <w:szCs w:val="20"/>
        </w:rPr>
        <w:t>Working at or above the expected outcome:</w:t>
      </w:r>
      <w:r w:rsidRPr="005B7EC1">
        <w:rPr>
          <w:sz w:val="20"/>
          <w:szCs w:val="20"/>
        </w:rPr>
        <w:t xml:space="preserve"> </w:t>
      </w:r>
      <w:r w:rsidRPr="00792E1B">
        <w:rPr>
          <w:sz w:val="20"/>
          <w:szCs w:val="20"/>
        </w:rPr>
        <w:t>NATIONAL 70</w:t>
      </w:r>
      <w:proofErr w:type="gramStart"/>
      <w:r w:rsidRPr="00792E1B">
        <w:rPr>
          <w:sz w:val="20"/>
          <w:szCs w:val="20"/>
        </w:rPr>
        <w:t xml:space="preserve">% </w:t>
      </w:r>
      <w:r>
        <w:rPr>
          <w:sz w:val="20"/>
          <w:szCs w:val="20"/>
        </w:rPr>
        <w:t xml:space="preserve"> </w:t>
      </w:r>
      <w:proofErr w:type="spellStart"/>
      <w:r>
        <w:rPr>
          <w:sz w:val="20"/>
          <w:szCs w:val="20"/>
        </w:rPr>
        <w:t>Tutshill</w:t>
      </w:r>
      <w:proofErr w:type="spellEnd"/>
      <w:proofErr w:type="gramEnd"/>
      <w:r>
        <w:rPr>
          <w:sz w:val="20"/>
          <w:szCs w:val="20"/>
        </w:rPr>
        <w:t xml:space="preserve"> </w:t>
      </w:r>
      <w:r>
        <w:rPr>
          <w:b/>
          <w:sz w:val="20"/>
          <w:szCs w:val="20"/>
        </w:rPr>
        <w:t xml:space="preserve">School 86 </w:t>
      </w:r>
      <w:r w:rsidRPr="00792E1B">
        <w:rPr>
          <w:b/>
          <w:sz w:val="20"/>
          <w:szCs w:val="20"/>
        </w:rPr>
        <w:t>%</w:t>
      </w:r>
    </w:p>
    <w:p w:rsidR="005B7EC1" w:rsidRPr="00792E1B" w:rsidRDefault="005B7EC1" w:rsidP="005B7EC1">
      <w:pPr>
        <w:jc w:val="center"/>
        <w:rPr>
          <w:b/>
          <w:sz w:val="20"/>
          <w:szCs w:val="20"/>
        </w:rPr>
      </w:pPr>
    </w:p>
    <w:tbl>
      <w:tblPr>
        <w:tblStyle w:val="TableGrid"/>
        <w:tblW w:w="0" w:type="auto"/>
        <w:jc w:val="center"/>
        <w:tblLook w:val="04A0" w:firstRow="1" w:lastRow="0" w:firstColumn="1" w:lastColumn="0" w:noHBand="0" w:noVBand="1"/>
      </w:tblPr>
      <w:tblGrid>
        <w:gridCol w:w="1162"/>
        <w:gridCol w:w="1221"/>
        <w:gridCol w:w="1013"/>
        <w:gridCol w:w="1274"/>
        <w:gridCol w:w="1013"/>
      </w:tblGrid>
      <w:tr w:rsidR="00585CAE" w:rsidRPr="00792E1B" w:rsidTr="009B1DC1">
        <w:trPr>
          <w:trHeight w:val="864"/>
          <w:jc w:val="center"/>
        </w:trPr>
        <w:tc>
          <w:tcPr>
            <w:tcW w:w="1162" w:type="dxa"/>
            <w:shd w:val="clear" w:color="auto" w:fill="auto"/>
          </w:tcPr>
          <w:p w:rsidR="00585CAE" w:rsidRPr="00792E1B" w:rsidRDefault="00585CAE" w:rsidP="009B1DC1">
            <w:pPr>
              <w:rPr>
                <w:b/>
                <w:sz w:val="20"/>
                <w:szCs w:val="20"/>
              </w:rPr>
            </w:pPr>
            <w:proofErr w:type="spellStart"/>
            <w:r w:rsidRPr="00792E1B">
              <w:rPr>
                <w:b/>
                <w:sz w:val="20"/>
                <w:szCs w:val="20"/>
              </w:rPr>
              <w:t>Maths</w:t>
            </w:r>
            <w:proofErr w:type="spellEnd"/>
          </w:p>
        </w:tc>
        <w:tc>
          <w:tcPr>
            <w:tcW w:w="1221" w:type="dxa"/>
            <w:shd w:val="clear" w:color="auto" w:fill="C6D9F1" w:themeFill="text2" w:themeFillTint="33"/>
          </w:tcPr>
          <w:p w:rsidR="00585CAE" w:rsidRPr="00792E1B" w:rsidRDefault="00585CAE" w:rsidP="009B1DC1">
            <w:pPr>
              <w:rPr>
                <w:b/>
                <w:sz w:val="20"/>
                <w:szCs w:val="20"/>
              </w:rPr>
            </w:pPr>
            <w:r w:rsidRPr="00792E1B">
              <w:rPr>
                <w:b/>
                <w:sz w:val="20"/>
                <w:szCs w:val="20"/>
              </w:rPr>
              <w:t>Working towards, WTS</w:t>
            </w:r>
          </w:p>
        </w:tc>
        <w:tc>
          <w:tcPr>
            <w:tcW w:w="790" w:type="dxa"/>
            <w:shd w:val="clear" w:color="auto" w:fill="auto"/>
          </w:tcPr>
          <w:p w:rsidR="00585CAE" w:rsidRPr="00792E1B" w:rsidRDefault="00585CAE" w:rsidP="009B1DC1">
            <w:pPr>
              <w:rPr>
                <w:b/>
                <w:sz w:val="20"/>
                <w:szCs w:val="20"/>
              </w:rPr>
            </w:pPr>
            <w:r>
              <w:rPr>
                <w:b/>
                <w:sz w:val="20"/>
                <w:szCs w:val="20"/>
              </w:rPr>
              <w:t>Local Authority</w:t>
            </w:r>
          </w:p>
        </w:tc>
        <w:tc>
          <w:tcPr>
            <w:tcW w:w="1274" w:type="dxa"/>
            <w:shd w:val="clear" w:color="auto" w:fill="C6D9F1" w:themeFill="text2" w:themeFillTint="33"/>
          </w:tcPr>
          <w:p w:rsidR="00585CAE" w:rsidRPr="00792E1B" w:rsidRDefault="00585CAE" w:rsidP="009B1DC1">
            <w:pPr>
              <w:rPr>
                <w:b/>
                <w:sz w:val="20"/>
                <w:szCs w:val="20"/>
              </w:rPr>
            </w:pPr>
            <w:r w:rsidRPr="00792E1B">
              <w:rPr>
                <w:b/>
                <w:sz w:val="20"/>
                <w:szCs w:val="20"/>
              </w:rPr>
              <w:t>Working at expected standard, EXS</w:t>
            </w:r>
          </w:p>
        </w:tc>
        <w:tc>
          <w:tcPr>
            <w:tcW w:w="746" w:type="dxa"/>
            <w:shd w:val="clear" w:color="auto" w:fill="auto"/>
          </w:tcPr>
          <w:p w:rsidR="00585CAE" w:rsidRPr="00792E1B" w:rsidRDefault="00585CAE" w:rsidP="009B1DC1">
            <w:pPr>
              <w:rPr>
                <w:b/>
                <w:sz w:val="20"/>
                <w:szCs w:val="20"/>
              </w:rPr>
            </w:pPr>
            <w:r>
              <w:rPr>
                <w:b/>
                <w:sz w:val="20"/>
                <w:szCs w:val="20"/>
              </w:rPr>
              <w:t>Local Authority</w:t>
            </w:r>
          </w:p>
        </w:tc>
      </w:tr>
      <w:tr w:rsidR="00585CAE" w:rsidRPr="00792E1B" w:rsidTr="009B1DC1">
        <w:trPr>
          <w:trHeight w:val="445"/>
          <w:jc w:val="center"/>
        </w:trPr>
        <w:tc>
          <w:tcPr>
            <w:tcW w:w="1162" w:type="dxa"/>
            <w:shd w:val="clear" w:color="auto" w:fill="auto"/>
          </w:tcPr>
          <w:p w:rsidR="00585CAE" w:rsidRPr="00792E1B" w:rsidRDefault="00585CAE" w:rsidP="009B1DC1">
            <w:pPr>
              <w:rPr>
                <w:sz w:val="20"/>
                <w:szCs w:val="20"/>
              </w:rPr>
            </w:pPr>
            <w:r w:rsidRPr="00792E1B">
              <w:rPr>
                <w:sz w:val="20"/>
                <w:szCs w:val="20"/>
              </w:rPr>
              <w:t>%</w:t>
            </w:r>
          </w:p>
        </w:tc>
        <w:tc>
          <w:tcPr>
            <w:tcW w:w="1221" w:type="dxa"/>
            <w:shd w:val="clear" w:color="auto" w:fill="C6D9F1" w:themeFill="text2" w:themeFillTint="33"/>
          </w:tcPr>
          <w:p w:rsidR="00585CAE" w:rsidRPr="00792E1B" w:rsidRDefault="00585CAE" w:rsidP="009B1DC1">
            <w:pPr>
              <w:rPr>
                <w:sz w:val="20"/>
                <w:szCs w:val="20"/>
              </w:rPr>
            </w:pPr>
            <w:r w:rsidRPr="00792E1B">
              <w:rPr>
                <w:sz w:val="20"/>
                <w:szCs w:val="20"/>
              </w:rPr>
              <w:t>24.1</w:t>
            </w:r>
          </w:p>
        </w:tc>
        <w:tc>
          <w:tcPr>
            <w:tcW w:w="790" w:type="dxa"/>
            <w:shd w:val="clear" w:color="auto" w:fill="auto"/>
          </w:tcPr>
          <w:p w:rsidR="00585CAE" w:rsidRPr="00792E1B" w:rsidRDefault="00585CAE" w:rsidP="009B1DC1">
            <w:pPr>
              <w:rPr>
                <w:sz w:val="20"/>
                <w:szCs w:val="20"/>
              </w:rPr>
            </w:pPr>
            <w:r w:rsidRPr="00792E1B">
              <w:rPr>
                <w:sz w:val="20"/>
                <w:szCs w:val="20"/>
              </w:rPr>
              <w:t>30.2</w:t>
            </w:r>
          </w:p>
        </w:tc>
        <w:tc>
          <w:tcPr>
            <w:tcW w:w="1274" w:type="dxa"/>
            <w:shd w:val="clear" w:color="auto" w:fill="C6D9F1" w:themeFill="text2" w:themeFillTint="33"/>
          </w:tcPr>
          <w:p w:rsidR="00585CAE" w:rsidRPr="00792E1B" w:rsidRDefault="00585CAE" w:rsidP="009B1DC1">
            <w:pPr>
              <w:rPr>
                <w:sz w:val="20"/>
                <w:szCs w:val="20"/>
              </w:rPr>
            </w:pPr>
            <w:r w:rsidRPr="00792E1B">
              <w:rPr>
                <w:sz w:val="20"/>
                <w:szCs w:val="20"/>
              </w:rPr>
              <w:t>75.9</w:t>
            </w:r>
          </w:p>
        </w:tc>
        <w:tc>
          <w:tcPr>
            <w:tcW w:w="746" w:type="dxa"/>
            <w:shd w:val="clear" w:color="auto" w:fill="auto"/>
          </w:tcPr>
          <w:p w:rsidR="00585CAE" w:rsidRPr="00792E1B" w:rsidRDefault="00585CAE" w:rsidP="009B1DC1">
            <w:pPr>
              <w:rPr>
                <w:sz w:val="20"/>
                <w:szCs w:val="20"/>
              </w:rPr>
            </w:pPr>
            <w:r w:rsidRPr="00792E1B">
              <w:rPr>
                <w:sz w:val="20"/>
                <w:szCs w:val="20"/>
              </w:rPr>
              <w:t>69.8</w:t>
            </w:r>
          </w:p>
        </w:tc>
      </w:tr>
    </w:tbl>
    <w:p w:rsidR="00585CAE" w:rsidRPr="00792E1B" w:rsidRDefault="00585CAE" w:rsidP="00585CAE">
      <w:pPr>
        <w:rPr>
          <w:sz w:val="20"/>
          <w:szCs w:val="20"/>
          <w:highlight w:val="yellow"/>
        </w:rPr>
      </w:pPr>
    </w:p>
    <w:p w:rsidR="003D1B4C" w:rsidRDefault="003D1B4C"/>
    <w:sectPr w:rsidR="003D1B4C" w:rsidSect="005B7EC1">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4B3E"/>
    <w:multiLevelType w:val="hybridMultilevel"/>
    <w:tmpl w:val="A060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269D2"/>
    <w:multiLevelType w:val="hybridMultilevel"/>
    <w:tmpl w:val="D41A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A5ABE"/>
    <w:multiLevelType w:val="hybridMultilevel"/>
    <w:tmpl w:val="EFB2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D64DA"/>
    <w:multiLevelType w:val="hybridMultilevel"/>
    <w:tmpl w:val="ACF0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B57C4"/>
    <w:multiLevelType w:val="hybridMultilevel"/>
    <w:tmpl w:val="9040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66CBE"/>
    <w:multiLevelType w:val="hybridMultilevel"/>
    <w:tmpl w:val="00FC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AE"/>
    <w:rsid w:val="0033512B"/>
    <w:rsid w:val="003D1B4C"/>
    <w:rsid w:val="00585CAE"/>
    <w:rsid w:val="005B7EC1"/>
    <w:rsid w:val="00AC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4B144-3A82-4838-ACD3-CBD44C27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C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CA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CAE"/>
    <w:pPr>
      <w:ind w:left="720"/>
      <w:contextualSpacing/>
    </w:pPr>
  </w:style>
  <w:style w:type="character" w:styleId="Hyperlink">
    <w:name w:val="Hyperlink"/>
    <w:basedOn w:val="DefaultParagraphFont"/>
    <w:uiPriority w:val="99"/>
    <w:unhideWhenUsed/>
    <w:rsid w:val="00585CAE"/>
    <w:rPr>
      <w:color w:val="0000FF" w:themeColor="hyperlink"/>
      <w:u w:val="single"/>
    </w:rPr>
  </w:style>
  <w:style w:type="paragraph" w:styleId="BalloonText">
    <w:name w:val="Balloon Text"/>
    <w:basedOn w:val="Normal"/>
    <w:link w:val="BalloonTextChar"/>
    <w:uiPriority w:val="99"/>
    <w:semiHidden/>
    <w:unhideWhenUsed/>
    <w:rsid w:val="0033512B"/>
    <w:rPr>
      <w:rFonts w:ascii="Tahoma" w:hAnsi="Tahoma" w:cs="Tahoma"/>
      <w:sz w:val="16"/>
      <w:szCs w:val="16"/>
    </w:rPr>
  </w:style>
  <w:style w:type="character" w:customStyle="1" w:styleId="BalloonTextChar">
    <w:name w:val="Balloon Text Char"/>
    <w:basedOn w:val="DefaultParagraphFont"/>
    <w:link w:val="BalloonText"/>
    <w:uiPriority w:val="99"/>
    <w:semiHidden/>
    <w:rsid w:val="0033512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scaled-sco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nina.williamson161@gmail.com</cp:lastModifiedBy>
  <cp:revision>2</cp:revision>
  <cp:lastPrinted>2016-11-15T15:14:00Z</cp:lastPrinted>
  <dcterms:created xsi:type="dcterms:W3CDTF">2016-11-16T18:43:00Z</dcterms:created>
  <dcterms:modified xsi:type="dcterms:W3CDTF">2016-11-16T18:43:00Z</dcterms:modified>
</cp:coreProperties>
</file>